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66E" w:rsidRDefault="00CB066E" w:rsidP="00CB066E">
      <w:pPr>
        <w:jc w:val="both"/>
        <w:rPr>
          <w:b/>
          <w:u w:val="single"/>
          <w:lang w:val="en-US"/>
        </w:rPr>
      </w:pPr>
      <w:r w:rsidRPr="00CB066E">
        <w:rPr>
          <w:b/>
          <w:u w:val="single"/>
          <w:lang w:val="en-US"/>
        </w:rPr>
        <w:t>Draft exemption for high survivability of plaice caught</w:t>
      </w:r>
      <w:r w:rsidR="00142668">
        <w:rPr>
          <w:b/>
          <w:u w:val="single"/>
          <w:lang w:val="en-US"/>
        </w:rPr>
        <w:t xml:space="preserve"> with</w:t>
      </w:r>
      <w:r w:rsidRPr="00CB066E">
        <w:rPr>
          <w:b/>
          <w:u w:val="single"/>
          <w:lang w:val="en-US"/>
        </w:rPr>
        <w:t xml:space="preserve"> beam </w:t>
      </w:r>
      <w:r w:rsidR="00904B03">
        <w:rPr>
          <w:b/>
          <w:u w:val="single"/>
          <w:lang w:val="en-US"/>
        </w:rPr>
        <w:t xml:space="preserve">trawls BT2 </w:t>
      </w:r>
      <w:r w:rsidRPr="00CB066E">
        <w:rPr>
          <w:b/>
          <w:u w:val="single"/>
          <w:lang w:val="en-US"/>
        </w:rPr>
        <w:t>in the Western Waters</w:t>
      </w:r>
      <w:r w:rsidR="008601C5">
        <w:rPr>
          <w:b/>
          <w:u w:val="single"/>
          <w:lang w:val="en-US"/>
        </w:rPr>
        <w:t xml:space="preserve"> (7a-k)</w:t>
      </w:r>
    </w:p>
    <w:p w:rsidR="005871A3" w:rsidRDefault="005871A3" w:rsidP="00CB066E">
      <w:pPr>
        <w:jc w:val="both"/>
        <w:rPr>
          <w:lang w:val="en-US"/>
        </w:rPr>
      </w:pPr>
    </w:p>
    <w:p w:rsidR="00E17285" w:rsidRDefault="00CB066E" w:rsidP="00CB066E">
      <w:pPr>
        <w:jc w:val="both"/>
        <w:rPr>
          <w:lang w:val="en-US"/>
        </w:rPr>
      </w:pPr>
      <w:r w:rsidRPr="00CB066E">
        <w:rPr>
          <w:lang w:val="en-US"/>
        </w:rPr>
        <w:t>The BT2 gear</w:t>
      </w:r>
      <w:r w:rsidR="00904B03">
        <w:rPr>
          <w:lang w:val="en-US"/>
        </w:rPr>
        <w:t xml:space="preserve"> </w:t>
      </w:r>
      <w:r w:rsidRPr="00CB066E">
        <w:rPr>
          <w:lang w:val="en-US"/>
        </w:rPr>
        <w:t>i</w:t>
      </w:r>
      <w:r w:rsidR="00E8572A">
        <w:rPr>
          <w:lang w:val="en-US"/>
        </w:rPr>
        <w:t xml:space="preserve">s </w:t>
      </w:r>
      <w:r w:rsidR="00904B03">
        <w:rPr>
          <w:lang w:val="en-US"/>
        </w:rPr>
        <w:t xml:space="preserve">used in </w:t>
      </w:r>
      <w:r w:rsidR="00E8572A">
        <w:rPr>
          <w:lang w:val="en-US"/>
        </w:rPr>
        <w:t>a target fishery on sole</w:t>
      </w:r>
      <w:r w:rsidR="005871A3">
        <w:rPr>
          <w:lang w:val="en-US"/>
        </w:rPr>
        <w:t xml:space="preserve"> and mixed bycatches of for example plaice</w:t>
      </w:r>
      <w:r w:rsidR="00E8572A">
        <w:rPr>
          <w:lang w:val="en-US"/>
        </w:rPr>
        <w:t xml:space="preserve">. The </w:t>
      </w:r>
      <w:r w:rsidR="005871A3">
        <w:rPr>
          <w:lang w:val="en-US"/>
        </w:rPr>
        <w:t xml:space="preserve">general </w:t>
      </w:r>
      <w:r w:rsidR="00E8572A">
        <w:rPr>
          <w:lang w:val="en-US"/>
        </w:rPr>
        <w:t>introduction of the “</w:t>
      </w:r>
      <w:r w:rsidR="00832C76">
        <w:rPr>
          <w:lang w:val="en-US"/>
        </w:rPr>
        <w:t>Flemish</w:t>
      </w:r>
      <w:r w:rsidR="00E8572A">
        <w:rPr>
          <w:lang w:val="en-US"/>
        </w:rPr>
        <w:t xml:space="preserve"> panel”</w:t>
      </w:r>
      <w:r w:rsidR="0079733B">
        <w:rPr>
          <w:lang w:val="en-US"/>
        </w:rPr>
        <w:t xml:space="preserve"> in 2016</w:t>
      </w:r>
      <w:r w:rsidR="00E8572A">
        <w:rPr>
          <w:lang w:val="en-US"/>
        </w:rPr>
        <w:t xml:space="preserve"> </w:t>
      </w:r>
      <w:r w:rsidR="00E17285">
        <w:rPr>
          <w:lang w:val="en-US"/>
        </w:rPr>
        <w:t>already resulted</w:t>
      </w:r>
      <w:r w:rsidR="00E17285" w:rsidRPr="00E17285">
        <w:rPr>
          <w:lang w:val="en-US"/>
        </w:rPr>
        <w:t xml:space="preserve"> </w:t>
      </w:r>
      <w:r w:rsidR="00E17285">
        <w:rPr>
          <w:lang w:val="en-US"/>
        </w:rPr>
        <w:t>in the reduction of the</w:t>
      </w:r>
      <w:r w:rsidR="00E17285" w:rsidRPr="00E17285">
        <w:rPr>
          <w:lang w:val="en-US"/>
        </w:rPr>
        <w:t xml:space="preserve"> total sole catch by 19,7%, and </w:t>
      </w:r>
      <w:r w:rsidR="00E17285">
        <w:rPr>
          <w:lang w:val="en-US"/>
        </w:rPr>
        <w:t xml:space="preserve">the </w:t>
      </w:r>
      <w:r w:rsidR="00E17285" w:rsidRPr="00E17285">
        <w:rPr>
          <w:lang w:val="en-US"/>
        </w:rPr>
        <w:t>reduc</w:t>
      </w:r>
      <w:r w:rsidR="00E17285">
        <w:rPr>
          <w:lang w:val="en-US"/>
        </w:rPr>
        <w:t xml:space="preserve">tion of </w:t>
      </w:r>
      <w:r w:rsidR="00E17285" w:rsidRPr="00E17285">
        <w:rPr>
          <w:lang w:val="en-US"/>
        </w:rPr>
        <w:t>undersized sole (&lt; 24 cm) catch by 40,3%. Increasing the mesh size of the extension in a Belgian beam trawl was shown to be an effective and simple metho</w:t>
      </w:r>
      <w:r w:rsidR="00904B03">
        <w:rPr>
          <w:lang w:val="en-US"/>
        </w:rPr>
        <w:t>d to reduce the capture of sole.</w:t>
      </w:r>
      <w:r w:rsidR="00E17285">
        <w:rPr>
          <w:lang w:val="en-US"/>
        </w:rPr>
        <w:t xml:space="preserve"> For the moment, it </w:t>
      </w:r>
      <w:r w:rsidR="00E8572A">
        <w:rPr>
          <w:lang w:val="en-US"/>
        </w:rPr>
        <w:t xml:space="preserve">seems difficult to further </w:t>
      </w:r>
      <w:r w:rsidR="00E17285">
        <w:rPr>
          <w:lang w:val="en-US"/>
        </w:rPr>
        <w:t>increase</w:t>
      </w:r>
      <w:r w:rsidRPr="00CB066E">
        <w:rPr>
          <w:lang w:val="en-US"/>
        </w:rPr>
        <w:t xml:space="preserve"> se</w:t>
      </w:r>
      <w:r w:rsidR="003A3C70">
        <w:rPr>
          <w:lang w:val="en-US"/>
        </w:rPr>
        <w:t>lectivity</w:t>
      </w:r>
      <w:r w:rsidR="00904B03">
        <w:rPr>
          <w:lang w:val="en-US"/>
        </w:rPr>
        <w:t xml:space="preserve"> in this fishery</w:t>
      </w:r>
      <w:r w:rsidR="00E17285">
        <w:rPr>
          <w:lang w:val="en-US"/>
        </w:rPr>
        <w:t xml:space="preserve"> without a further loss of marketable sole.</w:t>
      </w:r>
    </w:p>
    <w:p w:rsidR="004D140F" w:rsidRDefault="004D140F" w:rsidP="00CB066E">
      <w:pPr>
        <w:jc w:val="both"/>
        <w:rPr>
          <w:lang w:val="en-US"/>
        </w:rPr>
      </w:pPr>
      <w:r>
        <w:rPr>
          <w:lang w:val="en-US"/>
        </w:rPr>
        <w:t>The choke mitigation tool for the North Western Waters</w:t>
      </w:r>
      <w:r w:rsidR="00216D88">
        <w:rPr>
          <w:lang w:val="en-US"/>
        </w:rPr>
        <w:t xml:space="preserve"> (October 2017)</w:t>
      </w:r>
      <w:r>
        <w:rPr>
          <w:lang w:val="en-US"/>
        </w:rPr>
        <w:t xml:space="preserve"> indicated that </w:t>
      </w:r>
      <w:r w:rsidR="00EE1827">
        <w:rPr>
          <w:lang w:val="en-US"/>
        </w:rPr>
        <w:t xml:space="preserve">plaice is a potential choke in different fishing areas. This tool also demonstrated that </w:t>
      </w:r>
      <w:r>
        <w:rPr>
          <w:lang w:val="en-US"/>
        </w:rPr>
        <w:t>a high survivability for plaice in the western waters would largely alleviate the risk of plaice to choke the fisheries concerned.</w:t>
      </w:r>
    </w:p>
    <w:p w:rsidR="00CB066E" w:rsidRPr="00CB066E" w:rsidRDefault="00E17285" w:rsidP="00CB066E">
      <w:pPr>
        <w:jc w:val="both"/>
        <w:rPr>
          <w:lang w:val="en-US"/>
        </w:rPr>
      </w:pPr>
      <w:r>
        <w:rPr>
          <w:lang w:val="en-US"/>
        </w:rPr>
        <w:t>Specific s</w:t>
      </w:r>
      <w:r w:rsidR="00CB066E" w:rsidRPr="00CB066E">
        <w:rPr>
          <w:lang w:val="en-US"/>
        </w:rPr>
        <w:t xml:space="preserve">urvivability studies </w:t>
      </w:r>
      <w:r>
        <w:rPr>
          <w:lang w:val="en-US"/>
        </w:rPr>
        <w:t xml:space="preserve">for plaice </w:t>
      </w:r>
      <w:r w:rsidR="00CB066E" w:rsidRPr="00CB066E">
        <w:rPr>
          <w:lang w:val="en-US"/>
        </w:rPr>
        <w:t>demonstrate that there exists an ex</w:t>
      </w:r>
      <w:r w:rsidR="003A3C70">
        <w:rPr>
          <w:lang w:val="en-US"/>
        </w:rPr>
        <w:t xml:space="preserve">tremely high variability in the </w:t>
      </w:r>
      <w:r w:rsidR="00CB066E" w:rsidRPr="00CB066E">
        <w:rPr>
          <w:lang w:val="en-US"/>
        </w:rPr>
        <w:t>results</w:t>
      </w:r>
      <w:r w:rsidR="00832C76">
        <w:rPr>
          <w:lang w:val="en-US"/>
        </w:rPr>
        <w:t xml:space="preserve"> of vessels</w:t>
      </w:r>
      <w:r w:rsidR="00CB066E" w:rsidRPr="00CB066E">
        <w:rPr>
          <w:lang w:val="en-US"/>
        </w:rPr>
        <w:t>, ranging from rather low to high levels</w:t>
      </w:r>
      <w:r w:rsidR="00D668CD">
        <w:rPr>
          <w:lang w:val="en-US"/>
        </w:rPr>
        <w:t xml:space="preserve"> (4-93</w:t>
      </w:r>
      <w:r w:rsidR="00832C76">
        <w:rPr>
          <w:lang w:val="en-US"/>
        </w:rPr>
        <w:t>%</w:t>
      </w:r>
      <w:r w:rsidR="001E6288">
        <w:rPr>
          <w:lang w:val="en-US"/>
        </w:rPr>
        <w:t xml:space="preserve"> - see annex I</w:t>
      </w:r>
      <w:r w:rsidR="00D668CD">
        <w:rPr>
          <w:lang w:val="en-US"/>
        </w:rPr>
        <w:t>, p. 16. More specific for the western waters the surviv</w:t>
      </w:r>
      <w:r w:rsidR="00A651C0">
        <w:rPr>
          <w:lang w:val="en-US"/>
        </w:rPr>
        <w:t>al levels range from 8 till 73%</w:t>
      </w:r>
      <w:r w:rsidR="00832C76">
        <w:rPr>
          <w:lang w:val="en-US"/>
        </w:rPr>
        <w:t>)</w:t>
      </w:r>
      <w:r w:rsidR="00CB066E" w:rsidRPr="00CB066E">
        <w:rPr>
          <w:lang w:val="en-US"/>
        </w:rPr>
        <w:t xml:space="preserve">. This </w:t>
      </w:r>
      <w:r w:rsidR="00BB5BB9">
        <w:rPr>
          <w:lang w:val="en-US"/>
        </w:rPr>
        <w:t>indicates</w:t>
      </w:r>
      <w:r w:rsidR="00CB066E" w:rsidRPr="00CB066E">
        <w:rPr>
          <w:lang w:val="en-US"/>
        </w:rPr>
        <w:t xml:space="preserve"> </w:t>
      </w:r>
      <w:r w:rsidR="003A3C70">
        <w:rPr>
          <w:lang w:val="en-US"/>
        </w:rPr>
        <w:t xml:space="preserve">that it is possible to </w:t>
      </w:r>
      <w:r w:rsidR="005871A3">
        <w:rPr>
          <w:lang w:val="en-US"/>
        </w:rPr>
        <w:t>get</w:t>
      </w:r>
      <w:r w:rsidR="00CB066E" w:rsidRPr="00CB066E">
        <w:rPr>
          <w:lang w:val="en-US"/>
        </w:rPr>
        <w:t xml:space="preserve"> high survivability figures and that improvements are </w:t>
      </w:r>
      <w:r w:rsidR="00EE1827">
        <w:rPr>
          <w:lang w:val="en-US"/>
        </w:rPr>
        <w:t xml:space="preserve">still </w:t>
      </w:r>
      <w:r w:rsidR="00CB066E" w:rsidRPr="00CB066E">
        <w:rPr>
          <w:lang w:val="en-US"/>
        </w:rPr>
        <w:t>possible. The study</w:t>
      </w:r>
      <w:r w:rsidR="003E773B">
        <w:rPr>
          <w:lang w:val="en-US"/>
        </w:rPr>
        <w:t xml:space="preserve"> in a</w:t>
      </w:r>
      <w:r w:rsidR="003A3C70">
        <w:rPr>
          <w:lang w:val="en-US"/>
        </w:rPr>
        <w:t xml:space="preserve">nnex </w:t>
      </w:r>
      <w:r w:rsidR="005871A3">
        <w:rPr>
          <w:lang w:val="en-US"/>
        </w:rPr>
        <w:t>I</w:t>
      </w:r>
      <w:r w:rsidR="00CB066E" w:rsidRPr="00CB066E">
        <w:rPr>
          <w:lang w:val="en-US"/>
        </w:rPr>
        <w:t xml:space="preserve"> </w:t>
      </w:r>
      <w:proofErr w:type="gramStart"/>
      <w:r w:rsidR="00CB066E" w:rsidRPr="00CB066E">
        <w:rPr>
          <w:lang w:val="en-US"/>
        </w:rPr>
        <w:t>stipulates</w:t>
      </w:r>
      <w:proofErr w:type="gramEnd"/>
      <w:r w:rsidR="00CB066E" w:rsidRPr="00CB066E">
        <w:rPr>
          <w:lang w:val="en-US"/>
        </w:rPr>
        <w:t xml:space="preserve"> an estimation of the high numbers of juvenile plaice that could survive.</w:t>
      </w:r>
    </w:p>
    <w:p w:rsidR="00EE1827" w:rsidRDefault="00CB066E" w:rsidP="00CB066E">
      <w:pPr>
        <w:jc w:val="both"/>
        <w:rPr>
          <w:lang w:val="en-US"/>
        </w:rPr>
      </w:pPr>
      <w:r w:rsidRPr="00CB066E">
        <w:rPr>
          <w:lang w:val="en-US"/>
        </w:rPr>
        <w:t>Scientists were invited to study the parameters, which deter</w:t>
      </w:r>
      <w:r w:rsidR="003E773B">
        <w:rPr>
          <w:lang w:val="en-US"/>
        </w:rPr>
        <w:t>minate survivability. The</w:t>
      </w:r>
      <w:r w:rsidR="003A3C70">
        <w:rPr>
          <w:lang w:val="en-US"/>
        </w:rPr>
        <w:t xml:space="preserve"> </w:t>
      </w:r>
      <w:r w:rsidR="003E773B">
        <w:rPr>
          <w:lang w:val="en-US"/>
        </w:rPr>
        <w:t>study</w:t>
      </w:r>
      <w:r w:rsidR="00EE1827">
        <w:rPr>
          <w:lang w:val="en-US"/>
        </w:rPr>
        <w:t xml:space="preserve"> conducted by ILVO</w:t>
      </w:r>
      <w:r w:rsidR="003E773B">
        <w:rPr>
          <w:lang w:val="en-US"/>
        </w:rPr>
        <w:t xml:space="preserve"> in a</w:t>
      </w:r>
      <w:r w:rsidRPr="00CB066E">
        <w:rPr>
          <w:lang w:val="en-US"/>
        </w:rPr>
        <w:t xml:space="preserve">nnex </w:t>
      </w:r>
      <w:r w:rsidR="001D7B7B">
        <w:rPr>
          <w:lang w:val="en-US"/>
        </w:rPr>
        <w:t>I</w:t>
      </w:r>
      <w:r w:rsidRPr="00CB066E">
        <w:rPr>
          <w:lang w:val="en-US"/>
        </w:rPr>
        <w:t xml:space="preserve"> demonstrates significant </w:t>
      </w:r>
      <w:r w:rsidR="003E773B">
        <w:rPr>
          <w:lang w:val="en-US"/>
        </w:rPr>
        <w:t>impacts on</w:t>
      </w:r>
      <w:r w:rsidRPr="00CB066E">
        <w:rPr>
          <w:lang w:val="en-US"/>
        </w:rPr>
        <w:t xml:space="preserve"> sur</w:t>
      </w:r>
      <w:r w:rsidR="003A3C70">
        <w:rPr>
          <w:lang w:val="en-US"/>
        </w:rPr>
        <w:t>viva</w:t>
      </w:r>
      <w:r w:rsidR="005871A3">
        <w:rPr>
          <w:lang w:val="en-US"/>
        </w:rPr>
        <w:t>l</w:t>
      </w:r>
      <w:r w:rsidR="003A3C70">
        <w:rPr>
          <w:lang w:val="en-US"/>
        </w:rPr>
        <w:t xml:space="preserve"> </w:t>
      </w:r>
      <w:r w:rsidR="003E773B">
        <w:rPr>
          <w:lang w:val="en-US"/>
        </w:rPr>
        <w:t>by</w:t>
      </w:r>
      <w:r w:rsidR="003A3C70">
        <w:rPr>
          <w:lang w:val="en-US"/>
        </w:rPr>
        <w:t xml:space="preserve"> trawl </w:t>
      </w:r>
      <w:r w:rsidRPr="00CB066E">
        <w:rPr>
          <w:lang w:val="en-US"/>
        </w:rPr>
        <w:t xml:space="preserve">duration, sorting duration, wave height, sea temperature, </w:t>
      </w:r>
      <w:r w:rsidR="003A3C70">
        <w:rPr>
          <w:lang w:val="en-US"/>
        </w:rPr>
        <w:t xml:space="preserve">sediment catch and total catch. </w:t>
      </w:r>
    </w:p>
    <w:p w:rsidR="00BB5BB9" w:rsidRDefault="00EE1827" w:rsidP="00CB066E">
      <w:pPr>
        <w:jc w:val="both"/>
        <w:rPr>
          <w:lang w:val="en-US"/>
        </w:rPr>
      </w:pPr>
      <w:r>
        <w:rPr>
          <w:lang w:val="en-US"/>
        </w:rPr>
        <w:t>From a policy perspective, it</w:t>
      </w:r>
      <w:r w:rsidR="00093C36">
        <w:rPr>
          <w:lang w:val="en-US"/>
        </w:rPr>
        <w:t xml:space="preserve"> </w:t>
      </w:r>
      <w:r w:rsidR="003E773B">
        <w:rPr>
          <w:lang w:val="en-US"/>
        </w:rPr>
        <w:t>seems</w:t>
      </w:r>
      <w:r w:rsidR="00093C36">
        <w:rPr>
          <w:lang w:val="en-US"/>
        </w:rPr>
        <w:t xml:space="preserve"> possible to manage certain of those elements</w:t>
      </w:r>
      <w:r w:rsidR="005871A3">
        <w:rPr>
          <w:lang w:val="en-US"/>
        </w:rPr>
        <w:t xml:space="preserve"> e.g. t</w:t>
      </w:r>
      <w:r w:rsidR="003A3C70">
        <w:rPr>
          <w:lang w:val="en-US"/>
        </w:rPr>
        <w:t xml:space="preserve">rawl duration, sorting </w:t>
      </w:r>
      <w:r w:rsidR="00CB066E" w:rsidRPr="00CB066E">
        <w:rPr>
          <w:lang w:val="en-US"/>
        </w:rPr>
        <w:t xml:space="preserve">duration, </w:t>
      </w:r>
      <w:r w:rsidR="00BB5BB9">
        <w:rPr>
          <w:lang w:val="en-US"/>
        </w:rPr>
        <w:t>sediment catch and total catch:</w:t>
      </w:r>
    </w:p>
    <w:p w:rsidR="00093C36" w:rsidRDefault="00BB5BB9" w:rsidP="00CB066E">
      <w:pPr>
        <w:jc w:val="both"/>
        <w:rPr>
          <w:lang w:val="en-US"/>
        </w:rPr>
      </w:pPr>
      <w:r>
        <w:rPr>
          <w:lang w:val="en-US"/>
        </w:rPr>
        <w:t xml:space="preserve">1) </w:t>
      </w:r>
      <w:r w:rsidR="00216D88">
        <w:rPr>
          <w:lang w:val="en-US"/>
        </w:rPr>
        <w:t>The study shows</w:t>
      </w:r>
      <w:r w:rsidR="00CB066E" w:rsidRPr="00CB066E">
        <w:rPr>
          <w:lang w:val="en-US"/>
        </w:rPr>
        <w:t xml:space="preserve"> cl</w:t>
      </w:r>
      <w:r w:rsidR="003A3C70">
        <w:rPr>
          <w:lang w:val="en-US"/>
        </w:rPr>
        <w:t>ear</w:t>
      </w:r>
      <w:r w:rsidR="00216D88">
        <w:rPr>
          <w:lang w:val="en-US"/>
        </w:rPr>
        <w:t>ly</w:t>
      </w:r>
      <w:r w:rsidR="003A3C70">
        <w:rPr>
          <w:lang w:val="en-US"/>
        </w:rPr>
        <w:t xml:space="preserve"> that </w:t>
      </w:r>
      <w:r w:rsidR="00216D88">
        <w:rPr>
          <w:lang w:val="en-US"/>
        </w:rPr>
        <w:t>especially</w:t>
      </w:r>
      <w:r w:rsidR="003A3C70">
        <w:rPr>
          <w:lang w:val="en-US"/>
        </w:rPr>
        <w:t xml:space="preserve"> the effect of the </w:t>
      </w:r>
      <w:r w:rsidR="00CB066E" w:rsidRPr="00CB066E">
        <w:rPr>
          <w:lang w:val="en-US"/>
        </w:rPr>
        <w:t xml:space="preserve">sediment catch is important. If catches exists of more </w:t>
      </w:r>
      <w:r w:rsidR="003A3C70">
        <w:rPr>
          <w:lang w:val="en-US"/>
        </w:rPr>
        <w:t xml:space="preserve">than 25% of stones or sand, the </w:t>
      </w:r>
      <w:r w:rsidR="00CB066E" w:rsidRPr="00CB066E">
        <w:rPr>
          <w:lang w:val="en-US"/>
        </w:rPr>
        <w:t>survivability of the flatfish caught, decreases by nearly a factor 10.</w:t>
      </w:r>
      <w:r>
        <w:rPr>
          <w:lang w:val="en-US"/>
        </w:rPr>
        <w:t xml:space="preserve"> </w:t>
      </w:r>
      <w:r w:rsidR="00CB066E" w:rsidRPr="00CB066E">
        <w:rPr>
          <w:lang w:val="en-US"/>
        </w:rPr>
        <w:t xml:space="preserve">The avoidance of stones and sand in the cod end </w:t>
      </w:r>
      <w:r>
        <w:rPr>
          <w:lang w:val="en-US"/>
        </w:rPr>
        <w:t xml:space="preserve">should be </w:t>
      </w:r>
      <w:r w:rsidR="00CB066E" w:rsidRPr="00CB066E">
        <w:rPr>
          <w:lang w:val="en-US"/>
        </w:rPr>
        <w:t>possib</w:t>
      </w:r>
      <w:r w:rsidR="003A3C70">
        <w:rPr>
          <w:lang w:val="en-US"/>
        </w:rPr>
        <w:t>le by the use of</w:t>
      </w:r>
      <w:r w:rsidR="003E773B">
        <w:rPr>
          <w:lang w:val="en-US"/>
        </w:rPr>
        <w:t xml:space="preserve"> certain</w:t>
      </w:r>
      <w:r w:rsidR="003A3C70">
        <w:rPr>
          <w:lang w:val="en-US"/>
        </w:rPr>
        <w:t xml:space="preserve"> technical </w:t>
      </w:r>
      <w:r w:rsidR="00093C36">
        <w:rPr>
          <w:lang w:val="en-US"/>
        </w:rPr>
        <w:t>devices</w:t>
      </w:r>
      <w:r w:rsidR="00CB066E" w:rsidRPr="00CB066E">
        <w:rPr>
          <w:lang w:val="en-US"/>
        </w:rPr>
        <w:t>. A note on the potential to increase survival of di</w:t>
      </w:r>
      <w:r w:rsidR="003A3C70">
        <w:rPr>
          <w:lang w:val="en-US"/>
        </w:rPr>
        <w:t xml:space="preserve">scards by technical measures in </w:t>
      </w:r>
      <w:r w:rsidR="00CB066E" w:rsidRPr="00CB066E">
        <w:rPr>
          <w:lang w:val="en-US"/>
        </w:rPr>
        <w:t>be</w:t>
      </w:r>
      <w:r w:rsidR="001D7B7B">
        <w:rPr>
          <w:lang w:val="en-US"/>
        </w:rPr>
        <w:t>am trawls (annex II</w:t>
      </w:r>
      <w:r w:rsidR="00CB066E" w:rsidRPr="00CB066E">
        <w:rPr>
          <w:lang w:val="en-US"/>
        </w:rPr>
        <w:t xml:space="preserve">) suggests two technical </w:t>
      </w:r>
      <w:r w:rsidR="008601C5">
        <w:rPr>
          <w:lang w:val="en-US"/>
        </w:rPr>
        <w:t>modifications</w:t>
      </w:r>
      <w:r w:rsidR="00CB066E" w:rsidRPr="00CB066E">
        <w:rPr>
          <w:lang w:val="en-US"/>
        </w:rPr>
        <w:t xml:space="preserve"> </w:t>
      </w:r>
      <w:r w:rsidR="00093C36">
        <w:rPr>
          <w:lang w:val="en-US"/>
        </w:rPr>
        <w:t>to beam trawls to avoid stones:</w:t>
      </w:r>
    </w:p>
    <w:p w:rsidR="00093C36" w:rsidRPr="00093C36" w:rsidRDefault="00CB066E" w:rsidP="00093C36">
      <w:pPr>
        <w:pStyle w:val="ListParagraph"/>
        <w:numPr>
          <w:ilvl w:val="0"/>
          <w:numId w:val="1"/>
        </w:numPr>
        <w:jc w:val="both"/>
        <w:rPr>
          <w:lang w:val="en-US"/>
        </w:rPr>
      </w:pPr>
      <w:r w:rsidRPr="00093C36">
        <w:rPr>
          <w:lang w:val="en-US"/>
        </w:rPr>
        <w:t xml:space="preserve">the </w:t>
      </w:r>
      <w:r w:rsidRPr="00093C36">
        <w:rPr>
          <w:b/>
          <w:lang w:val="en-US"/>
        </w:rPr>
        <w:t xml:space="preserve">flip-up rope </w:t>
      </w:r>
      <w:r w:rsidRPr="00093C36">
        <w:rPr>
          <w:lang w:val="en-US"/>
        </w:rPr>
        <w:t>rigged on top of the bobbin rop</w:t>
      </w:r>
      <w:r w:rsidR="003A3C70" w:rsidRPr="00093C36">
        <w:rPr>
          <w:lang w:val="en-US"/>
        </w:rPr>
        <w:t>e in t</w:t>
      </w:r>
      <w:r w:rsidR="008601C5">
        <w:rPr>
          <w:lang w:val="en-US"/>
        </w:rPr>
        <w:t>he net opening;</w:t>
      </w:r>
    </w:p>
    <w:p w:rsidR="004D140F" w:rsidRDefault="00CB066E" w:rsidP="004D140F">
      <w:pPr>
        <w:pStyle w:val="ListParagraph"/>
        <w:numPr>
          <w:ilvl w:val="0"/>
          <w:numId w:val="1"/>
        </w:numPr>
        <w:jc w:val="both"/>
        <w:rPr>
          <w:lang w:val="en-US"/>
        </w:rPr>
      </w:pPr>
      <w:proofErr w:type="gramStart"/>
      <w:r w:rsidRPr="00093C36">
        <w:rPr>
          <w:lang w:val="en-US"/>
        </w:rPr>
        <w:t>the</w:t>
      </w:r>
      <w:proofErr w:type="gramEnd"/>
      <w:r w:rsidRPr="00093C36">
        <w:rPr>
          <w:lang w:val="en-US"/>
        </w:rPr>
        <w:t xml:space="preserve"> </w:t>
      </w:r>
      <w:r w:rsidRPr="00093C36">
        <w:rPr>
          <w:b/>
          <w:lang w:val="en-US"/>
        </w:rPr>
        <w:t>benthic release panel</w:t>
      </w:r>
      <w:r w:rsidRPr="00093C36">
        <w:rPr>
          <w:lang w:val="en-US"/>
        </w:rPr>
        <w:t>, a square mesh panel inserted in the b</w:t>
      </w:r>
      <w:r w:rsidR="003A3C70" w:rsidRPr="00093C36">
        <w:rPr>
          <w:lang w:val="en-US"/>
        </w:rPr>
        <w:t xml:space="preserve">elly of the trawl, </w:t>
      </w:r>
      <w:r w:rsidRPr="00093C36">
        <w:rPr>
          <w:lang w:val="en-US"/>
        </w:rPr>
        <w:t xml:space="preserve">just in front of the </w:t>
      </w:r>
      <w:r w:rsidR="00AD2A74">
        <w:rPr>
          <w:lang w:val="en-US"/>
        </w:rPr>
        <w:t>Flemish panel</w:t>
      </w:r>
      <w:bookmarkStart w:id="0" w:name="_GoBack"/>
      <w:bookmarkEnd w:id="0"/>
      <w:r w:rsidRPr="00093C36">
        <w:rPr>
          <w:lang w:val="en-US"/>
        </w:rPr>
        <w:t xml:space="preserve">. </w:t>
      </w:r>
      <w:r w:rsidR="00093C36">
        <w:rPr>
          <w:lang w:val="en-US"/>
        </w:rPr>
        <w:t xml:space="preserve">However, </w:t>
      </w:r>
      <w:r w:rsidRPr="00093C36">
        <w:rPr>
          <w:lang w:val="en-US"/>
        </w:rPr>
        <w:t>the use of t</w:t>
      </w:r>
      <w:r w:rsidR="003A3C70" w:rsidRPr="00093C36">
        <w:rPr>
          <w:lang w:val="en-US"/>
        </w:rPr>
        <w:t xml:space="preserve">he benthic release panel causes </w:t>
      </w:r>
      <w:r w:rsidR="008601C5">
        <w:rPr>
          <w:lang w:val="en-US"/>
        </w:rPr>
        <w:t>again the loss of marketable sole catches;</w:t>
      </w:r>
    </w:p>
    <w:p w:rsidR="004D140F" w:rsidRDefault="004D140F" w:rsidP="004D140F">
      <w:pPr>
        <w:jc w:val="both"/>
        <w:rPr>
          <w:lang w:val="en-US"/>
        </w:rPr>
      </w:pPr>
      <w:r>
        <w:rPr>
          <w:lang w:val="en-US"/>
        </w:rPr>
        <w:t xml:space="preserve">The introduction of these devices could therefore have a significant impact </w:t>
      </w:r>
      <w:r w:rsidR="00EE1827">
        <w:rPr>
          <w:lang w:val="en-US"/>
        </w:rPr>
        <w:t>to increase further</w:t>
      </w:r>
      <w:r>
        <w:rPr>
          <w:lang w:val="en-US"/>
        </w:rPr>
        <w:t xml:space="preserve"> survivability</w:t>
      </w:r>
      <w:r w:rsidR="00BB5BB9">
        <w:rPr>
          <w:lang w:val="en-US"/>
        </w:rPr>
        <w:t xml:space="preserve"> for plaice in the BT2 fishery for </w:t>
      </w:r>
      <w:r w:rsidR="00BB5BB9" w:rsidRPr="00BB5BB9">
        <w:rPr>
          <w:u w:val="single"/>
          <w:lang w:val="en-US"/>
        </w:rPr>
        <w:t>the &gt;221kW segment fleet</w:t>
      </w:r>
      <w:r w:rsidR="00BB5BB9">
        <w:rPr>
          <w:lang w:val="en-US"/>
        </w:rPr>
        <w:t>.</w:t>
      </w:r>
    </w:p>
    <w:p w:rsidR="00EE1827" w:rsidRDefault="00E80106" w:rsidP="004D140F">
      <w:pPr>
        <w:jc w:val="both"/>
        <w:rPr>
          <w:lang w:val="en-US"/>
        </w:rPr>
      </w:pPr>
      <w:r>
        <w:rPr>
          <w:lang w:val="en-US"/>
        </w:rPr>
        <w:t xml:space="preserve">A transitional period of three years would allow researchers to conduct further </w:t>
      </w:r>
      <w:r w:rsidRPr="00E80106">
        <w:rPr>
          <w:lang w:val="en-US"/>
        </w:rPr>
        <w:t xml:space="preserve">scientific work to improve the gear selectivity and to improve survivability of plaice. Note that the use of these devices </w:t>
      </w:r>
      <w:r w:rsidRPr="00E80106">
        <w:rPr>
          <w:lang w:val="en-US"/>
        </w:rPr>
        <w:lastRenderedPageBreak/>
        <w:t>will also positively impact other flatfish species in the area. Amongst others an electric benthic release panel could have some selectivity potential without losing significant quantities of sole.</w:t>
      </w:r>
      <w:r>
        <w:rPr>
          <w:lang w:val="en-US"/>
        </w:rPr>
        <w:t xml:space="preserve"> </w:t>
      </w:r>
    </w:p>
    <w:p w:rsidR="001D7B7B" w:rsidRDefault="00BB5BB9" w:rsidP="00BB5BB9">
      <w:pPr>
        <w:jc w:val="both"/>
        <w:rPr>
          <w:lang w:val="en-US"/>
        </w:rPr>
      </w:pPr>
      <w:r>
        <w:rPr>
          <w:lang w:val="en-US"/>
        </w:rPr>
        <w:t>2)</w:t>
      </w:r>
      <w:r w:rsidRPr="00BB5BB9">
        <w:rPr>
          <w:lang w:val="en-US"/>
        </w:rPr>
        <w:t xml:space="preserve"> </w:t>
      </w:r>
      <w:r w:rsidR="001D7B7B">
        <w:rPr>
          <w:lang w:val="en-US"/>
        </w:rPr>
        <w:t xml:space="preserve">On smaller BT2 vessels, </w:t>
      </w:r>
      <w:r w:rsidR="001D7B7B" w:rsidRPr="001D7B7B">
        <w:rPr>
          <w:u w:val="single"/>
          <w:lang w:val="en-US"/>
        </w:rPr>
        <w:t xml:space="preserve">the </w:t>
      </w:r>
      <w:r w:rsidR="001D7B7B" w:rsidRPr="00BB5BB9">
        <w:rPr>
          <w:u w:val="single"/>
          <w:lang w:val="en-US"/>
        </w:rPr>
        <w:t>&lt;221kW segment fleet</w:t>
      </w:r>
      <w:r w:rsidR="001D7B7B">
        <w:rPr>
          <w:u w:val="single"/>
          <w:lang w:val="en-US"/>
        </w:rPr>
        <w:t>,</w:t>
      </w:r>
      <w:r w:rsidR="001D7B7B">
        <w:rPr>
          <w:lang w:val="en-US"/>
        </w:rPr>
        <w:t xml:space="preserve"> t</w:t>
      </w:r>
      <w:r>
        <w:rPr>
          <w:lang w:val="en-US"/>
        </w:rPr>
        <w:t>he introduction of these technical devices would hinder fishing operations</w:t>
      </w:r>
      <w:r w:rsidR="001D7B7B">
        <w:rPr>
          <w:lang w:val="en-US"/>
        </w:rPr>
        <w:t>. Therefore alternative management measures should be explored to increase the survivability of plaice in this segment.</w:t>
      </w:r>
    </w:p>
    <w:p w:rsidR="008A245B" w:rsidRDefault="001D7B7B" w:rsidP="00BB5BB9">
      <w:pPr>
        <w:jc w:val="both"/>
        <w:rPr>
          <w:lang w:val="en-US"/>
        </w:rPr>
      </w:pPr>
      <w:r>
        <w:rPr>
          <w:lang w:val="en-US"/>
        </w:rPr>
        <w:t>The study in annex I</w:t>
      </w:r>
      <w:r w:rsidR="00BB5BB9">
        <w:rPr>
          <w:lang w:val="en-US"/>
        </w:rPr>
        <w:t xml:space="preserve"> demonstrates that a</w:t>
      </w:r>
      <w:r w:rsidR="00BB5BB9" w:rsidRPr="00BB5BB9">
        <w:rPr>
          <w:lang w:val="en-US"/>
        </w:rPr>
        <w:t xml:space="preserve"> reduction of the trawl duration </w:t>
      </w:r>
      <w:r w:rsidR="00BB5BB9">
        <w:rPr>
          <w:lang w:val="en-US"/>
        </w:rPr>
        <w:t xml:space="preserve">and </w:t>
      </w:r>
      <w:r w:rsidR="00BB5BB9" w:rsidRPr="00BB5BB9">
        <w:rPr>
          <w:lang w:val="en-US"/>
        </w:rPr>
        <w:t xml:space="preserve">air exposure time </w:t>
      </w:r>
      <w:r w:rsidR="00BB5BB9">
        <w:rPr>
          <w:lang w:val="en-US"/>
        </w:rPr>
        <w:t xml:space="preserve">also has an impact on </w:t>
      </w:r>
      <w:r w:rsidR="00BB5BB9" w:rsidRPr="00BB5BB9">
        <w:rPr>
          <w:lang w:val="en-US"/>
        </w:rPr>
        <w:t xml:space="preserve">the survivability. </w:t>
      </w:r>
    </w:p>
    <w:p w:rsidR="008A245B" w:rsidRDefault="008A245B" w:rsidP="00BB5BB9">
      <w:pPr>
        <w:jc w:val="both"/>
        <w:rPr>
          <w:lang w:val="en-US"/>
        </w:rPr>
      </w:pPr>
      <w:r>
        <w:rPr>
          <w:lang w:val="en-US"/>
        </w:rPr>
        <w:t xml:space="preserve">A transitional period of three years would allow researchers to conduct further </w:t>
      </w:r>
      <w:r w:rsidRPr="00E80106">
        <w:rPr>
          <w:lang w:val="en-US"/>
        </w:rPr>
        <w:t>scientific work</w:t>
      </w:r>
      <w:r>
        <w:rPr>
          <w:lang w:val="en-US"/>
        </w:rPr>
        <w:t xml:space="preserve"> on the possible impact of trawl duration and focus further on this </w:t>
      </w:r>
      <w:r w:rsidR="001D7B7B">
        <w:rPr>
          <w:lang w:val="en-US"/>
        </w:rPr>
        <w:t xml:space="preserve">particular </w:t>
      </w:r>
      <w:r>
        <w:rPr>
          <w:lang w:val="en-US"/>
        </w:rPr>
        <w:t xml:space="preserve">fleet segment. </w:t>
      </w:r>
    </w:p>
    <w:p w:rsidR="00BB5BB9" w:rsidRPr="00BB5BB9" w:rsidRDefault="008A245B" w:rsidP="00BB5BB9">
      <w:pPr>
        <w:jc w:val="both"/>
        <w:rPr>
          <w:lang w:val="en-US"/>
        </w:rPr>
      </w:pPr>
      <w:r>
        <w:rPr>
          <w:lang w:val="en-US"/>
        </w:rPr>
        <w:t xml:space="preserve">During this transitional period a limitation of the average trawl duration to less then ninety minutes seems recommendable. </w:t>
      </w:r>
      <w:r w:rsidR="00B8495E">
        <w:rPr>
          <w:lang w:val="en-US"/>
        </w:rPr>
        <w:t>A summary of the exemption is provided in Table 1.</w:t>
      </w:r>
    </w:p>
    <w:p w:rsidR="00E80106" w:rsidRDefault="00E80106" w:rsidP="00CB066E">
      <w:pPr>
        <w:jc w:val="both"/>
        <w:rPr>
          <w:b/>
          <w:i/>
          <w:lang w:val="en-US"/>
        </w:rPr>
      </w:pPr>
    </w:p>
    <w:p w:rsidR="00E80106" w:rsidRPr="00E80106" w:rsidRDefault="002331DC" w:rsidP="00CB066E">
      <w:pPr>
        <w:jc w:val="both"/>
        <w:rPr>
          <w:b/>
          <w:i/>
          <w:u w:val="single"/>
          <w:lang w:val="en-US"/>
        </w:rPr>
      </w:pPr>
      <w:r>
        <w:rPr>
          <w:b/>
          <w:i/>
          <w:u w:val="single"/>
          <w:lang w:val="en-US"/>
        </w:rPr>
        <w:t>Recommendation</w:t>
      </w:r>
      <w:r w:rsidR="008A245B">
        <w:rPr>
          <w:b/>
          <w:i/>
          <w:u w:val="single"/>
          <w:lang w:val="en-US"/>
        </w:rPr>
        <w:t>s</w:t>
      </w:r>
      <w:r w:rsidR="00E80106" w:rsidRPr="00E80106">
        <w:rPr>
          <w:b/>
          <w:i/>
          <w:u w:val="single"/>
          <w:lang w:val="en-US"/>
        </w:rPr>
        <w:t>:</w:t>
      </w:r>
    </w:p>
    <w:p w:rsidR="00093C36" w:rsidRDefault="00BB5BB9" w:rsidP="00CB066E">
      <w:pPr>
        <w:jc w:val="both"/>
        <w:rPr>
          <w:b/>
          <w:i/>
          <w:lang w:val="en-US"/>
        </w:rPr>
      </w:pPr>
      <w:r>
        <w:rPr>
          <w:b/>
          <w:i/>
          <w:lang w:val="en-US"/>
        </w:rPr>
        <w:t xml:space="preserve">- </w:t>
      </w:r>
      <w:r w:rsidR="00CB066E" w:rsidRPr="00093C36">
        <w:rPr>
          <w:b/>
          <w:i/>
          <w:lang w:val="en-US"/>
        </w:rPr>
        <w:t>A three year temporary exemption for high survivability o</w:t>
      </w:r>
      <w:r w:rsidR="00E8572A" w:rsidRPr="00093C36">
        <w:rPr>
          <w:b/>
          <w:i/>
          <w:lang w:val="en-US"/>
        </w:rPr>
        <w:t xml:space="preserve">f plaice in western waters </w:t>
      </w:r>
      <w:r w:rsidR="003E773B">
        <w:rPr>
          <w:b/>
          <w:i/>
          <w:lang w:val="en-US"/>
        </w:rPr>
        <w:t xml:space="preserve">(7a-k) </w:t>
      </w:r>
      <w:r w:rsidR="00CB066E" w:rsidRPr="00093C36">
        <w:rPr>
          <w:b/>
          <w:i/>
          <w:lang w:val="en-US"/>
        </w:rPr>
        <w:t xml:space="preserve">caught with BT2 gear is requested for vessels </w:t>
      </w:r>
      <w:r w:rsidR="008A245B">
        <w:rPr>
          <w:b/>
          <w:i/>
          <w:lang w:val="en-US"/>
        </w:rPr>
        <w:t>of the &gt;</w:t>
      </w:r>
      <w:r>
        <w:rPr>
          <w:b/>
          <w:i/>
          <w:lang w:val="en-US"/>
        </w:rPr>
        <w:t xml:space="preserve">221kW segment fleet </w:t>
      </w:r>
      <w:r w:rsidR="00CB066E" w:rsidRPr="00093C36">
        <w:rPr>
          <w:b/>
          <w:i/>
          <w:lang w:val="en-US"/>
        </w:rPr>
        <w:t>which use the flip-up rope or benthic release</w:t>
      </w:r>
      <w:r w:rsidR="00E8572A" w:rsidRPr="00093C36">
        <w:rPr>
          <w:b/>
          <w:i/>
          <w:lang w:val="en-US"/>
        </w:rPr>
        <w:t xml:space="preserve"> panel. </w:t>
      </w:r>
    </w:p>
    <w:p w:rsidR="009962DE" w:rsidRDefault="00BB5BB9" w:rsidP="00BB5BB9">
      <w:pPr>
        <w:jc w:val="both"/>
        <w:rPr>
          <w:b/>
          <w:i/>
          <w:lang w:val="en-US"/>
        </w:rPr>
      </w:pPr>
      <w:r>
        <w:rPr>
          <w:b/>
          <w:i/>
          <w:lang w:val="en-US"/>
        </w:rPr>
        <w:t xml:space="preserve">- </w:t>
      </w:r>
      <w:r w:rsidR="008A245B">
        <w:rPr>
          <w:b/>
          <w:i/>
          <w:lang w:val="en-US"/>
        </w:rPr>
        <w:t>The smaller BT2 vessels</w:t>
      </w:r>
      <w:r w:rsidRPr="008A245B">
        <w:rPr>
          <w:b/>
          <w:i/>
          <w:lang w:val="en-US"/>
        </w:rPr>
        <w:t>, with an engine p</w:t>
      </w:r>
      <w:r w:rsidR="00D668CD">
        <w:rPr>
          <w:b/>
          <w:i/>
          <w:lang w:val="en-US"/>
        </w:rPr>
        <w:t xml:space="preserve">ower of not more than 221kW or </w:t>
      </w:r>
      <w:r w:rsidRPr="008A245B">
        <w:rPr>
          <w:b/>
          <w:i/>
          <w:lang w:val="en-US"/>
        </w:rPr>
        <w:t>less than 24 m length overall, which are constructed to fish in the twelve mile zone, could use</w:t>
      </w:r>
      <w:r w:rsidR="008A245B">
        <w:rPr>
          <w:b/>
          <w:i/>
          <w:lang w:val="en-US"/>
        </w:rPr>
        <w:t xml:space="preserve"> a three year temporary </w:t>
      </w:r>
      <w:r w:rsidRPr="008A245B">
        <w:rPr>
          <w:b/>
          <w:i/>
          <w:lang w:val="en-US"/>
        </w:rPr>
        <w:t xml:space="preserve">exemption for high survivability for </w:t>
      </w:r>
      <w:r w:rsidR="008A245B">
        <w:rPr>
          <w:b/>
          <w:i/>
          <w:lang w:val="en-US"/>
        </w:rPr>
        <w:t>plaice</w:t>
      </w:r>
      <w:r w:rsidRPr="008A245B">
        <w:rPr>
          <w:b/>
          <w:i/>
          <w:lang w:val="en-US"/>
        </w:rPr>
        <w:t xml:space="preserve"> if the average trawl durat</w:t>
      </w:r>
      <w:r w:rsidR="009962DE">
        <w:rPr>
          <w:b/>
          <w:i/>
          <w:lang w:val="en-US"/>
        </w:rPr>
        <w:t>ion is less then ninety minutes</w:t>
      </w:r>
    </w:p>
    <w:p w:rsidR="00B8495E" w:rsidRDefault="00B8495E" w:rsidP="00BB5BB9">
      <w:pPr>
        <w:jc w:val="both"/>
        <w:rPr>
          <w:b/>
          <w:i/>
          <w:lang w:val="en-US"/>
        </w:rPr>
      </w:pPr>
    </w:p>
    <w:p w:rsidR="00B8495E" w:rsidRPr="00B8495E" w:rsidRDefault="00B8495E" w:rsidP="00BB5BB9">
      <w:pPr>
        <w:jc w:val="both"/>
        <w:rPr>
          <w:lang w:val="en-US"/>
        </w:rPr>
        <w:sectPr w:rsidR="00B8495E" w:rsidRPr="00B8495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BB5BB9" w:rsidRDefault="00BB5BB9" w:rsidP="00CB066E">
      <w:pPr>
        <w:jc w:val="both"/>
        <w:rPr>
          <w:b/>
          <w:i/>
          <w:lang w:val="en-US"/>
        </w:rPr>
      </w:pPr>
    </w:p>
    <w:p w:rsidR="009962DE" w:rsidRPr="009962DE" w:rsidRDefault="009962DE" w:rsidP="009962DE">
      <w:pPr>
        <w:spacing w:before="240" w:after="120"/>
        <w:rPr>
          <w:rFonts w:ascii="Arial" w:eastAsia="Calibri" w:hAnsi="Arial" w:cs="Arial"/>
          <w:b/>
          <w:color w:val="FF0000"/>
          <w:sz w:val="24"/>
          <w:szCs w:val="24"/>
          <w:lang w:val="en-GB"/>
        </w:rPr>
      </w:pPr>
      <w:r w:rsidRPr="009962DE">
        <w:rPr>
          <w:rFonts w:ascii="Arial" w:eastAsia="Calibri" w:hAnsi="Arial" w:cs="Arial"/>
          <w:b/>
          <w:color w:val="FF0000"/>
          <w:sz w:val="24"/>
          <w:szCs w:val="24"/>
          <w:lang w:val="en-GB"/>
        </w:rPr>
        <w:t>Table 1: Completed STECF table for high survivability proposal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4"/>
        <w:gridCol w:w="1935"/>
        <w:gridCol w:w="1550"/>
        <w:gridCol w:w="1586"/>
        <w:gridCol w:w="1586"/>
        <w:gridCol w:w="1586"/>
        <w:gridCol w:w="1460"/>
        <w:gridCol w:w="1761"/>
        <w:gridCol w:w="1496"/>
      </w:tblGrid>
      <w:tr w:rsidR="009962DE" w:rsidRPr="009962DE" w:rsidTr="00A0148F">
        <w:tc>
          <w:tcPr>
            <w:tcW w:w="1235" w:type="dxa"/>
          </w:tcPr>
          <w:p w:rsidR="009962DE" w:rsidRPr="009962DE" w:rsidRDefault="009962DE" w:rsidP="009962DE">
            <w:pPr>
              <w:spacing w:before="240" w:after="120"/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</w:pPr>
            <w:r w:rsidRPr="009962DE"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  <w:t>Country</w:t>
            </w:r>
          </w:p>
        </w:tc>
        <w:tc>
          <w:tcPr>
            <w:tcW w:w="2000" w:type="dxa"/>
          </w:tcPr>
          <w:p w:rsidR="009962DE" w:rsidRPr="009962DE" w:rsidRDefault="009962DE" w:rsidP="009962DE">
            <w:pPr>
              <w:spacing w:before="240" w:after="120"/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</w:pPr>
            <w:r w:rsidRPr="009962DE"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  <w:t>Exemption applied for (species, area, gear type)</w:t>
            </w:r>
          </w:p>
        </w:tc>
        <w:tc>
          <w:tcPr>
            <w:tcW w:w="1606" w:type="dxa"/>
          </w:tcPr>
          <w:p w:rsidR="009962DE" w:rsidRPr="009962DE" w:rsidRDefault="009962DE" w:rsidP="009962DE">
            <w:pPr>
              <w:spacing w:before="240" w:after="120"/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</w:pPr>
            <w:r w:rsidRPr="009962DE"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  <w:t>Species as bycatch or target</w:t>
            </w:r>
          </w:p>
        </w:tc>
        <w:tc>
          <w:tcPr>
            <w:tcW w:w="1623" w:type="dxa"/>
          </w:tcPr>
          <w:p w:rsidR="009962DE" w:rsidRPr="009962DE" w:rsidRDefault="009962DE" w:rsidP="009962DE">
            <w:pPr>
              <w:spacing w:before="240" w:after="120"/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</w:pPr>
            <w:r w:rsidRPr="009962DE"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  <w:t xml:space="preserve">Number of vessels subject to the landing obligation </w:t>
            </w:r>
          </w:p>
        </w:tc>
        <w:tc>
          <w:tcPr>
            <w:tcW w:w="1623" w:type="dxa"/>
          </w:tcPr>
          <w:p w:rsidR="009962DE" w:rsidRPr="009962DE" w:rsidRDefault="009962DE" w:rsidP="009962DE">
            <w:pPr>
              <w:spacing w:before="240" w:after="120"/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</w:pPr>
            <w:r w:rsidRPr="009962DE"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  <w:t>Landings (by landing obligation subject vessels)</w:t>
            </w:r>
          </w:p>
        </w:tc>
        <w:tc>
          <w:tcPr>
            <w:tcW w:w="1623" w:type="dxa"/>
          </w:tcPr>
          <w:p w:rsidR="009962DE" w:rsidRPr="009962DE" w:rsidRDefault="009962DE" w:rsidP="009962DE">
            <w:pPr>
              <w:spacing w:before="240" w:after="120"/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</w:pPr>
            <w:r w:rsidRPr="009962DE"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  <w:t>Estimated Discards</w:t>
            </w:r>
          </w:p>
        </w:tc>
        <w:tc>
          <w:tcPr>
            <w:tcW w:w="1484" w:type="dxa"/>
          </w:tcPr>
          <w:p w:rsidR="009962DE" w:rsidRPr="009962DE" w:rsidRDefault="009962DE" w:rsidP="009962DE">
            <w:pPr>
              <w:spacing w:before="240" w:after="120"/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</w:pPr>
            <w:r w:rsidRPr="009962DE"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  <w:t>Estimated Catch</w:t>
            </w:r>
          </w:p>
        </w:tc>
        <w:tc>
          <w:tcPr>
            <w:tcW w:w="1842" w:type="dxa"/>
          </w:tcPr>
          <w:p w:rsidR="009962DE" w:rsidRPr="009962DE" w:rsidRDefault="009962DE" w:rsidP="009962DE">
            <w:pPr>
              <w:spacing w:before="240" w:after="120"/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</w:pPr>
            <w:r w:rsidRPr="009962DE"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  <w:t>Discard Rate</w:t>
            </w:r>
          </w:p>
        </w:tc>
        <w:tc>
          <w:tcPr>
            <w:tcW w:w="1524" w:type="dxa"/>
          </w:tcPr>
          <w:p w:rsidR="009962DE" w:rsidRPr="009962DE" w:rsidRDefault="009962DE" w:rsidP="009962DE">
            <w:pPr>
              <w:spacing w:before="240" w:after="120"/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</w:pPr>
            <w:r w:rsidRPr="009962DE"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  <w:t>Estimated discard survival rate from provided studies</w:t>
            </w:r>
          </w:p>
        </w:tc>
      </w:tr>
      <w:tr w:rsidR="009962DE" w:rsidRPr="009962DE" w:rsidTr="00A0148F">
        <w:tc>
          <w:tcPr>
            <w:tcW w:w="1235" w:type="dxa"/>
          </w:tcPr>
          <w:p w:rsidR="009962DE" w:rsidRPr="009962DE" w:rsidRDefault="009962DE" w:rsidP="009962DE">
            <w:pPr>
              <w:spacing w:before="240" w:after="120"/>
              <w:rPr>
                <w:rFonts w:asciiTheme="minorHAnsi" w:hAnsiTheme="minorHAnsi" w:cs="Arial"/>
                <w:color w:val="FF0000"/>
                <w:sz w:val="24"/>
                <w:szCs w:val="24"/>
              </w:rPr>
            </w:pPr>
            <w:r w:rsidRPr="009962DE">
              <w:rPr>
                <w:rFonts w:asciiTheme="minorHAnsi" w:hAnsiTheme="minorHAnsi" w:cs="Arial"/>
                <w:color w:val="FF0000"/>
                <w:sz w:val="24"/>
                <w:szCs w:val="24"/>
              </w:rPr>
              <w:t>IE</w:t>
            </w:r>
          </w:p>
        </w:tc>
        <w:tc>
          <w:tcPr>
            <w:tcW w:w="2000" w:type="dxa"/>
          </w:tcPr>
          <w:p w:rsidR="009962DE" w:rsidRPr="009962DE" w:rsidRDefault="009962DE" w:rsidP="009962DE">
            <w:pPr>
              <w:spacing w:before="240" w:after="120"/>
              <w:rPr>
                <w:rFonts w:asciiTheme="minorHAnsi" w:hAnsiTheme="minorHAnsi" w:cs="Arial"/>
                <w:color w:val="FF0000"/>
                <w:sz w:val="24"/>
                <w:szCs w:val="24"/>
              </w:rPr>
            </w:pPr>
            <w:r w:rsidRPr="009962DE">
              <w:rPr>
                <w:rFonts w:asciiTheme="minorHAnsi" w:hAnsiTheme="minorHAnsi" w:cs="Arial"/>
                <w:color w:val="FF0000"/>
                <w:sz w:val="24"/>
                <w:szCs w:val="24"/>
              </w:rPr>
              <w:t>Plaice, VIIa and b-k</w:t>
            </w:r>
          </w:p>
        </w:tc>
        <w:tc>
          <w:tcPr>
            <w:tcW w:w="1606" w:type="dxa"/>
          </w:tcPr>
          <w:p w:rsidR="009962DE" w:rsidRPr="009962DE" w:rsidRDefault="009962DE" w:rsidP="009962DE">
            <w:pPr>
              <w:spacing w:before="240" w:after="120"/>
              <w:rPr>
                <w:rFonts w:asciiTheme="minorHAnsi" w:hAnsiTheme="minorHAnsi" w:cs="Arial"/>
                <w:color w:val="FF0000"/>
                <w:sz w:val="24"/>
                <w:szCs w:val="24"/>
              </w:rPr>
            </w:pPr>
            <w:r w:rsidRPr="009962DE">
              <w:rPr>
                <w:rFonts w:asciiTheme="minorHAnsi" w:hAnsiTheme="minorHAnsi" w:cs="Arial"/>
                <w:color w:val="FF0000"/>
                <w:sz w:val="24"/>
                <w:szCs w:val="24"/>
              </w:rPr>
              <w:t>Bycatch</w:t>
            </w:r>
          </w:p>
        </w:tc>
        <w:tc>
          <w:tcPr>
            <w:tcW w:w="1623" w:type="dxa"/>
          </w:tcPr>
          <w:p w:rsidR="009962DE" w:rsidRPr="009962DE" w:rsidRDefault="009962DE" w:rsidP="009962DE">
            <w:pPr>
              <w:spacing w:before="240" w:after="120"/>
              <w:rPr>
                <w:rFonts w:asciiTheme="minorHAnsi" w:hAnsiTheme="minorHAnsi" w:cs="Arial"/>
                <w:color w:val="FF0000"/>
                <w:sz w:val="24"/>
                <w:szCs w:val="24"/>
              </w:rPr>
            </w:pPr>
            <w:r w:rsidRPr="009962DE">
              <w:rPr>
                <w:rFonts w:asciiTheme="minorHAnsi" w:hAnsiTheme="minorHAnsi" w:cs="Arial"/>
                <w:color w:val="FF0000"/>
                <w:sz w:val="24"/>
                <w:szCs w:val="24"/>
              </w:rPr>
              <w:t>13</w:t>
            </w:r>
          </w:p>
        </w:tc>
        <w:tc>
          <w:tcPr>
            <w:tcW w:w="1623" w:type="dxa"/>
          </w:tcPr>
          <w:p w:rsidR="009962DE" w:rsidRPr="009962DE" w:rsidRDefault="009962DE" w:rsidP="009962DE">
            <w:pPr>
              <w:spacing w:before="240" w:after="120"/>
              <w:rPr>
                <w:rFonts w:asciiTheme="minorHAnsi" w:hAnsiTheme="minorHAnsi" w:cs="Arial"/>
                <w:color w:val="FF0000"/>
                <w:sz w:val="24"/>
                <w:szCs w:val="24"/>
              </w:rPr>
            </w:pPr>
            <w:r w:rsidRPr="009962DE">
              <w:rPr>
                <w:rFonts w:asciiTheme="minorHAnsi" w:hAnsiTheme="minorHAnsi" w:cs="Arial"/>
                <w:color w:val="FF0000"/>
                <w:sz w:val="24"/>
                <w:szCs w:val="24"/>
              </w:rPr>
              <w:t>269</w:t>
            </w:r>
          </w:p>
        </w:tc>
        <w:tc>
          <w:tcPr>
            <w:tcW w:w="1623" w:type="dxa"/>
          </w:tcPr>
          <w:p w:rsidR="009962DE" w:rsidRPr="009962DE" w:rsidRDefault="009962DE" w:rsidP="009962DE">
            <w:pPr>
              <w:spacing w:before="240" w:after="120"/>
              <w:rPr>
                <w:rFonts w:asciiTheme="minorHAnsi" w:hAnsiTheme="minorHAnsi" w:cs="Arial"/>
                <w:color w:val="FF0000"/>
                <w:sz w:val="24"/>
                <w:szCs w:val="24"/>
              </w:rPr>
            </w:pPr>
            <w:r w:rsidRPr="009962DE">
              <w:rPr>
                <w:rFonts w:asciiTheme="minorHAnsi" w:hAnsiTheme="minorHAnsi" w:cs="Arial"/>
                <w:color w:val="FF0000"/>
                <w:sz w:val="24"/>
                <w:szCs w:val="24"/>
              </w:rPr>
              <w:t>255</w:t>
            </w:r>
          </w:p>
        </w:tc>
        <w:tc>
          <w:tcPr>
            <w:tcW w:w="1484" w:type="dxa"/>
          </w:tcPr>
          <w:p w:rsidR="009962DE" w:rsidRPr="009962DE" w:rsidRDefault="009962DE" w:rsidP="009962DE">
            <w:pPr>
              <w:spacing w:before="240" w:after="120"/>
              <w:rPr>
                <w:rFonts w:asciiTheme="minorHAnsi" w:hAnsiTheme="minorHAnsi" w:cs="Arial"/>
                <w:color w:val="FF0000"/>
                <w:sz w:val="24"/>
                <w:szCs w:val="24"/>
              </w:rPr>
            </w:pPr>
            <w:r w:rsidRPr="009962DE">
              <w:rPr>
                <w:rFonts w:asciiTheme="minorHAnsi" w:hAnsiTheme="minorHAnsi" w:cs="Arial"/>
                <w:color w:val="FF0000"/>
                <w:sz w:val="24"/>
                <w:szCs w:val="24"/>
              </w:rPr>
              <w:t>524</w:t>
            </w:r>
          </w:p>
        </w:tc>
        <w:tc>
          <w:tcPr>
            <w:tcW w:w="1842" w:type="dxa"/>
          </w:tcPr>
          <w:p w:rsidR="009962DE" w:rsidRPr="009962DE" w:rsidRDefault="009962DE" w:rsidP="009962DE">
            <w:pPr>
              <w:spacing w:before="240" w:after="120"/>
              <w:jc w:val="center"/>
              <w:rPr>
                <w:rFonts w:asciiTheme="minorHAnsi" w:hAnsiTheme="minorHAnsi" w:cs="Arial"/>
                <w:color w:val="FF0000"/>
                <w:sz w:val="24"/>
                <w:szCs w:val="24"/>
              </w:rPr>
            </w:pPr>
            <w:r w:rsidRPr="009962DE">
              <w:rPr>
                <w:rFonts w:asciiTheme="minorHAnsi" w:hAnsiTheme="minorHAnsi" w:cs="Arial"/>
                <w:color w:val="FF0000"/>
                <w:sz w:val="24"/>
                <w:szCs w:val="24"/>
              </w:rPr>
              <w:t>49%</w:t>
            </w:r>
          </w:p>
        </w:tc>
        <w:tc>
          <w:tcPr>
            <w:tcW w:w="1524" w:type="dxa"/>
          </w:tcPr>
          <w:p w:rsidR="009962DE" w:rsidRPr="009962DE" w:rsidRDefault="009962DE" w:rsidP="009962DE">
            <w:pPr>
              <w:spacing w:before="240" w:after="120"/>
              <w:rPr>
                <w:rFonts w:asciiTheme="minorHAnsi" w:hAnsiTheme="minorHAnsi" w:cs="Arial"/>
                <w:color w:val="FF0000"/>
                <w:sz w:val="24"/>
                <w:szCs w:val="24"/>
              </w:rPr>
            </w:pPr>
            <w:r w:rsidRPr="009962DE">
              <w:rPr>
                <w:rFonts w:asciiTheme="minorHAnsi" w:hAnsiTheme="minorHAnsi" w:cs="Arial"/>
                <w:color w:val="FF0000"/>
                <w:sz w:val="24"/>
                <w:szCs w:val="24"/>
              </w:rPr>
              <w:t>8-73%</w:t>
            </w:r>
          </w:p>
        </w:tc>
      </w:tr>
      <w:tr w:rsidR="009962DE" w:rsidRPr="009962DE" w:rsidTr="00A0148F">
        <w:tc>
          <w:tcPr>
            <w:tcW w:w="1235" w:type="dxa"/>
          </w:tcPr>
          <w:p w:rsidR="009962DE" w:rsidRPr="009962DE" w:rsidRDefault="009962DE" w:rsidP="009962DE">
            <w:pPr>
              <w:spacing w:before="240" w:after="120"/>
              <w:rPr>
                <w:rFonts w:asciiTheme="minorHAnsi" w:hAnsiTheme="minorHAnsi" w:cs="Arial"/>
                <w:color w:val="FF0000"/>
                <w:sz w:val="24"/>
                <w:szCs w:val="24"/>
              </w:rPr>
            </w:pPr>
            <w:r>
              <w:rPr>
                <w:rFonts w:asciiTheme="minorHAnsi" w:hAnsiTheme="minorHAnsi" w:cs="Arial"/>
                <w:color w:val="FF0000"/>
                <w:sz w:val="24"/>
                <w:szCs w:val="24"/>
              </w:rPr>
              <w:t>BE</w:t>
            </w:r>
          </w:p>
        </w:tc>
        <w:tc>
          <w:tcPr>
            <w:tcW w:w="2000" w:type="dxa"/>
          </w:tcPr>
          <w:p w:rsidR="009962DE" w:rsidRPr="009962DE" w:rsidRDefault="009962DE" w:rsidP="009962DE">
            <w:pPr>
              <w:spacing w:before="240" w:after="120"/>
              <w:rPr>
                <w:rFonts w:asciiTheme="minorHAnsi" w:hAnsiTheme="minorHAnsi" w:cs="Arial"/>
                <w:color w:val="FF0000"/>
                <w:sz w:val="24"/>
                <w:szCs w:val="24"/>
              </w:rPr>
            </w:pPr>
          </w:p>
        </w:tc>
        <w:tc>
          <w:tcPr>
            <w:tcW w:w="1606" w:type="dxa"/>
          </w:tcPr>
          <w:p w:rsidR="009962DE" w:rsidRPr="009962DE" w:rsidRDefault="009962DE" w:rsidP="009962DE">
            <w:pPr>
              <w:spacing w:before="240" w:after="120"/>
              <w:rPr>
                <w:rFonts w:asciiTheme="minorHAnsi" w:hAnsiTheme="minorHAnsi" w:cs="Arial"/>
                <w:color w:val="FF0000"/>
                <w:sz w:val="24"/>
                <w:szCs w:val="24"/>
              </w:rPr>
            </w:pPr>
          </w:p>
        </w:tc>
        <w:tc>
          <w:tcPr>
            <w:tcW w:w="1623" w:type="dxa"/>
          </w:tcPr>
          <w:p w:rsidR="009962DE" w:rsidRPr="009962DE" w:rsidRDefault="009962DE" w:rsidP="009962DE">
            <w:pPr>
              <w:spacing w:before="240" w:after="120"/>
              <w:rPr>
                <w:rFonts w:asciiTheme="minorHAnsi" w:hAnsiTheme="minorHAnsi" w:cs="Arial"/>
                <w:color w:val="FF0000"/>
                <w:sz w:val="24"/>
                <w:szCs w:val="24"/>
              </w:rPr>
            </w:pPr>
          </w:p>
        </w:tc>
        <w:tc>
          <w:tcPr>
            <w:tcW w:w="1623" w:type="dxa"/>
          </w:tcPr>
          <w:p w:rsidR="009962DE" w:rsidRPr="009962DE" w:rsidRDefault="009962DE" w:rsidP="009962DE">
            <w:pPr>
              <w:spacing w:before="240" w:after="120"/>
              <w:rPr>
                <w:rFonts w:asciiTheme="minorHAnsi" w:hAnsiTheme="minorHAnsi" w:cs="Arial"/>
                <w:color w:val="FF0000"/>
                <w:sz w:val="24"/>
                <w:szCs w:val="24"/>
              </w:rPr>
            </w:pPr>
          </w:p>
        </w:tc>
        <w:tc>
          <w:tcPr>
            <w:tcW w:w="1623" w:type="dxa"/>
          </w:tcPr>
          <w:p w:rsidR="009962DE" w:rsidRPr="009962DE" w:rsidRDefault="009962DE" w:rsidP="009962DE">
            <w:pPr>
              <w:spacing w:before="240" w:after="120"/>
              <w:rPr>
                <w:rFonts w:asciiTheme="minorHAnsi" w:hAnsiTheme="minorHAnsi" w:cs="Arial"/>
                <w:color w:val="FF0000"/>
                <w:sz w:val="24"/>
                <w:szCs w:val="24"/>
              </w:rPr>
            </w:pPr>
          </w:p>
        </w:tc>
        <w:tc>
          <w:tcPr>
            <w:tcW w:w="1484" w:type="dxa"/>
          </w:tcPr>
          <w:p w:rsidR="009962DE" w:rsidRPr="009962DE" w:rsidRDefault="009962DE" w:rsidP="009962DE">
            <w:pPr>
              <w:spacing w:before="240" w:after="120"/>
              <w:rPr>
                <w:rFonts w:asciiTheme="minorHAnsi" w:hAnsiTheme="minorHAnsi" w:cs="Arial"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9962DE" w:rsidRPr="009962DE" w:rsidRDefault="009962DE" w:rsidP="009962DE">
            <w:pPr>
              <w:spacing w:before="240" w:after="120"/>
              <w:rPr>
                <w:rFonts w:asciiTheme="minorHAnsi" w:hAnsiTheme="minorHAnsi" w:cs="Arial"/>
                <w:color w:val="FF0000"/>
                <w:sz w:val="24"/>
                <w:szCs w:val="24"/>
              </w:rPr>
            </w:pPr>
          </w:p>
        </w:tc>
        <w:tc>
          <w:tcPr>
            <w:tcW w:w="1524" w:type="dxa"/>
          </w:tcPr>
          <w:p w:rsidR="009962DE" w:rsidRPr="009962DE" w:rsidRDefault="009962DE" w:rsidP="009962DE">
            <w:pPr>
              <w:spacing w:before="240" w:after="120"/>
              <w:rPr>
                <w:rFonts w:asciiTheme="minorHAnsi" w:hAnsiTheme="minorHAnsi" w:cs="Arial"/>
                <w:color w:val="FF0000"/>
                <w:sz w:val="24"/>
                <w:szCs w:val="24"/>
              </w:rPr>
            </w:pPr>
          </w:p>
        </w:tc>
      </w:tr>
    </w:tbl>
    <w:p w:rsidR="00BB5BB9" w:rsidRPr="00093C36" w:rsidRDefault="00BB5BB9" w:rsidP="00CB066E">
      <w:pPr>
        <w:jc w:val="both"/>
        <w:rPr>
          <w:b/>
          <w:i/>
          <w:lang w:val="en-US"/>
        </w:rPr>
      </w:pPr>
    </w:p>
    <w:p w:rsidR="00422BFB" w:rsidRPr="00E80106" w:rsidRDefault="00422BFB" w:rsidP="00CB066E">
      <w:pPr>
        <w:jc w:val="both"/>
        <w:rPr>
          <w:b/>
          <w:i/>
          <w:lang w:val="en-US"/>
        </w:rPr>
      </w:pPr>
    </w:p>
    <w:sectPr w:rsidR="00422BFB" w:rsidRPr="00E80106" w:rsidSect="009962D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73608"/>
    <w:multiLevelType w:val="hybridMultilevel"/>
    <w:tmpl w:val="D292C5DA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66E"/>
    <w:rsid w:val="00093C36"/>
    <w:rsid w:val="00142668"/>
    <w:rsid w:val="001D7B7B"/>
    <w:rsid w:val="001E6288"/>
    <w:rsid w:val="00216D88"/>
    <w:rsid w:val="002331DC"/>
    <w:rsid w:val="00257E0A"/>
    <w:rsid w:val="003A3C70"/>
    <w:rsid w:val="003E773B"/>
    <w:rsid w:val="00422BFB"/>
    <w:rsid w:val="004D140F"/>
    <w:rsid w:val="005871A3"/>
    <w:rsid w:val="0079733B"/>
    <w:rsid w:val="00832C76"/>
    <w:rsid w:val="008550C1"/>
    <w:rsid w:val="008601C5"/>
    <w:rsid w:val="008A245B"/>
    <w:rsid w:val="00904B03"/>
    <w:rsid w:val="009962DE"/>
    <w:rsid w:val="00A651C0"/>
    <w:rsid w:val="00AC0FD9"/>
    <w:rsid w:val="00AD2A74"/>
    <w:rsid w:val="00B8495E"/>
    <w:rsid w:val="00BB5BB9"/>
    <w:rsid w:val="00CB066E"/>
    <w:rsid w:val="00D668CD"/>
    <w:rsid w:val="00E17285"/>
    <w:rsid w:val="00E80106"/>
    <w:rsid w:val="00E8572A"/>
    <w:rsid w:val="00EE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C36"/>
    <w:pPr>
      <w:ind w:left="720"/>
      <w:contextualSpacing/>
    </w:pPr>
  </w:style>
  <w:style w:type="table" w:styleId="TableGrid">
    <w:name w:val="Table Grid"/>
    <w:basedOn w:val="TableNormal"/>
    <w:uiPriority w:val="59"/>
    <w:rsid w:val="009962DE"/>
    <w:pPr>
      <w:spacing w:before="60" w:after="80" w:line="240" w:lineRule="auto"/>
    </w:pPr>
    <w:rPr>
      <w:rFonts w:ascii="Helvetica" w:eastAsia="Calibri" w:hAnsi="Helvetica" w:cs="Times New Roman"/>
      <w:szCs w:val="20"/>
      <w:lang w:val="en-GB" w:eastAsia="en-GB"/>
    </w:rPr>
    <w:tblPr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C36"/>
    <w:pPr>
      <w:ind w:left="720"/>
      <w:contextualSpacing/>
    </w:pPr>
  </w:style>
  <w:style w:type="table" w:styleId="TableGrid">
    <w:name w:val="Table Grid"/>
    <w:basedOn w:val="TableNormal"/>
    <w:uiPriority w:val="59"/>
    <w:rsid w:val="009962DE"/>
    <w:pPr>
      <w:spacing w:before="60" w:after="80" w:line="240" w:lineRule="auto"/>
    </w:pPr>
    <w:rPr>
      <w:rFonts w:ascii="Helvetica" w:eastAsia="Calibri" w:hAnsi="Helvetica" w:cs="Times New Roman"/>
      <w:szCs w:val="20"/>
      <w:lang w:val="en-GB" w:eastAsia="en-GB"/>
    </w:rPr>
    <w:tblPr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0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BD859-D93C-4A63-AA2E-7F944C64B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737</Words>
  <Characters>4207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Agentschap voor Landbouw en Visserij (ALV)</Company>
  <LinksUpToDate>false</LinksUpToDate>
  <CharactersWithSpaces>4935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Roegiers</dc:creator>
  <cp:lastModifiedBy>Horan, Helena</cp:lastModifiedBy>
  <cp:revision>4</cp:revision>
  <dcterms:created xsi:type="dcterms:W3CDTF">2018-05-29T07:56:00Z</dcterms:created>
  <dcterms:modified xsi:type="dcterms:W3CDTF">2018-05-31T10:12:00Z</dcterms:modified>
</cp:coreProperties>
</file>