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B1A3C6" w14:textId="4366AFB3" w:rsidR="00FD4888" w:rsidRPr="00AE382D" w:rsidRDefault="00FD4888" w:rsidP="00DD3DC3">
      <w:pPr>
        <w:jc w:val="center"/>
        <w:rPr>
          <w:b/>
          <w:bCs/>
          <w:sz w:val="28"/>
          <w:szCs w:val="28"/>
          <w:lang w:val="es-ES"/>
        </w:rPr>
      </w:pPr>
      <w:r w:rsidRPr="00AE382D">
        <w:rPr>
          <w:b/>
          <w:bCs/>
          <w:sz w:val="28"/>
          <w:szCs w:val="28"/>
          <w:lang w:val="es-ES"/>
        </w:rPr>
        <w:t xml:space="preserve">RESUMEN </w:t>
      </w:r>
      <w:bookmarkStart w:id="0" w:name="_Hlk34296101"/>
      <w:r w:rsidRPr="00AE382D">
        <w:rPr>
          <w:b/>
          <w:bCs/>
          <w:sz w:val="28"/>
          <w:szCs w:val="28"/>
          <w:lang w:val="es-ES"/>
        </w:rPr>
        <w:t>EXENCIONES EXISTENTES</w:t>
      </w:r>
      <w:bookmarkEnd w:id="0"/>
    </w:p>
    <w:p w14:paraId="7DAAC751" w14:textId="3BFE8EE0" w:rsidR="00FD4888" w:rsidRPr="00AE382D" w:rsidRDefault="00FD4888" w:rsidP="00FD4888">
      <w:pPr>
        <w:rPr>
          <w:lang w:val="es-ES"/>
        </w:rPr>
      </w:pPr>
      <w:r w:rsidRPr="00AE382D">
        <w:rPr>
          <w:lang w:val="es-ES"/>
        </w:rPr>
        <w:t>Los que tienen un * son temporales y necesitan información de apoyo para el 1 de mayo de 2020</w:t>
      </w:r>
    </w:p>
    <w:p w14:paraId="48460C14" w14:textId="578C3A37" w:rsidR="001809C0" w:rsidRPr="00AE382D" w:rsidRDefault="00FD4888" w:rsidP="00782C38">
      <w:pPr>
        <w:rPr>
          <w:b/>
          <w:bCs/>
          <w:lang w:val="es-ES"/>
        </w:rPr>
      </w:pPr>
      <w:r w:rsidRPr="00AE382D">
        <w:rPr>
          <w:b/>
          <w:bCs/>
          <w:lang w:val="es-ES"/>
        </w:rPr>
        <w:t>Exenciones relativas a la capacidad de supervivencia</w:t>
      </w:r>
    </w:p>
    <w:tbl>
      <w:tblPr>
        <w:tblStyle w:val="TableGrid"/>
        <w:tblW w:w="13036" w:type="dxa"/>
        <w:tblLook w:val="04A0" w:firstRow="1" w:lastRow="0" w:firstColumn="1" w:lastColumn="0" w:noHBand="0" w:noVBand="1"/>
      </w:tblPr>
      <w:tblGrid>
        <w:gridCol w:w="1508"/>
        <w:gridCol w:w="6181"/>
        <w:gridCol w:w="5347"/>
      </w:tblGrid>
      <w:tr w:rsidR="0035553B" w:rsidRPr="00AE382D" w14:paraId="795EFFE7" w14:textId="77777777" w:rsidTr="00DA1D90">
        <w:tc>
          <w:tcPr>
            <w:tcW w:w="1508" w:type="dxa"/>
          </w:tcPr>
          <w:p w14:paraId="00485CD6" w14:textId="34BBE7CC" w:rsidR="0035553B" w:rsidRPr="00AE382D" w:rsidRDefault="0035553B" w:rsidP="001809C0">
            <w:pPr>
              <w:rPr>
                <w:b/>
                <w:bCs/>
                <w:lang w:val="es-ES"/>
              </w:rPr>
            </w:pPr>
            <w:r w:rsidRPr="00AE382D">
              <w:rPr>
                <w:b/>
                <w:bCs/>
                <w:lang w:val="es-ES"/>
              </w:rPr>
              <w:t xml:space="preserve">Stock </w:t>
            </w:r>
          </w:p>
        </w:tc>
        <w:tc>
          <w:tcPr>
            <w:tcW w:w="6181" w:type="dxa"/>
          </w:tcPr>
          <w:p w14:paraId="731E2527" w14:textId="39D64ED3" w:rsidR="0035553B" w:rsidRPr="00AE382D" w:rsidRDefault="0035553B" w:rsidP="001809C0">
            <w:pPr>
              <w:rPr>
                <w:b/>
                <w:bCs/>
                <w:lang w:val="es-ES"/>
              </w:rPr>
            </w:pPr>
            <w:r w:rsidRPr="00AE382D">
              <w:rPr>
                <w:b/>
                <w:bCs/>
                <w:lang w:val="es-ES"/>
              </w:rPr>
              <w:t>Discard Plan 2019</w:t>
            </w:r>
          </w:p>
        </w:tc>
        <w:tc>
          <w:tcPr>
            <w:tcW w:w="5347" w:type="dxa"/>
          </w:tcPr>
          <w:p w14:paraId="668437D6" w14:textId="1B132E88" w:rsidR="0035553B" w:rsidRPr="00AE382D" w:rsidRDefault="00FD4888" w:rsidP="001809C0">
            <w:pPr>
              <w:rPr>
                <w:b/>
                <w:bCs/>
                <w:lang w:val="es-ES"/>
              </w:rPr>
            </w:pPr>
            <w:r w:rsidRPr="00AE382D">
              <w:rPr>
                <w:b/>
                <w:bCs/>
                <w:lang w:val="es-ES"/>
              </w:rPr>
              <w:t xml:space="preserve">Dictamen CC-ANOC </w:t>
            </w:r>
            <w:r w:rsidR="00D6657D" w:rsidRPr="00AE382D">
              <w:rPr>
                <w:b/>
                <w:bCs/>
                <w:lang w:val="es-ES"/>
              </w:rPr>
              <w:t>(Choke ID 2019)</w:t>
            </w:r>
          </w:p>
        </w:tc>
      </w:tr>
      <w:tr w:rsidR="009F701A" w:rsidRPr="00AE382D" w14:paraId="363C2414" w14:textId="77777777" w:rsidTr="00DA1D90">
        <w:tc>
          <w:tcPr>
            <w:tcW w:w="1508" w:type="dxa"/>
          </w:tcPr>
          <w:p w14:paraId="72B76E0E" w14:textId="76FF831E" w:rsidR="009F701A" w:rsidRPr="00AE382D" w:rsidRDefault="009F701A" w:rsidP="001809C0">
            <w:pPr>
              <w:rPr>
                <w:b/>
                <w:bCs/>
                <w:lang w:val="es-ES"/>
              </w:rPr>
            </w:pPr>
            <w:r w:rsidRPr="00AE382D">
              <w:rPr>
                <w:b/>
                <w:bCs/>
                <w:lang w:val="es-ES"/>
              </w:rPr>
              <w:t>Nephrops 6</w:t>
            </w:r>
            <w:r w:rsidR="00776CF9" w:rsidRPr="00AE382D">
              <w:rPr>
                <w:b/>
                <w:bCs/>
                <w:lang w:val="es-ES"/>
              </w:rPr>
              <w:t>a</w:t>
            </w:r>
          </w:p>
        </w:tc>
        <w:tc>
          <w:tcPr>
            <w:tcW w:w="6181" w:type="dxa"/>
          </w:tcPr>
          <w:p w14:paraId="0206106B" w14:textId="09809E0F" w:rsidR="009F701A" w:rsidRPr="00AE382D" w:rsidRDefault="00E05ECF" w:rsidP="001809C0">
            <w:pPr>
              <w:rPr>
                <w:lang w:val="es-ES"/>
              </w:rPr>
            </w:pPr>
            <w:r w:rsidRPr="00AE382D">
              <w:rPr>
                <w:lang w:val="es-ES"/>
              </w:rPr>
              <w:t>capturada con redes de arrastre de fondo con un tamaño de malla de 80 a 110 mm dentro del perímetro de doce millas náuticas a partir de la costa</w:t>
            </w:r>
          </w:p>
        </w:tc>
        <w:tc>
          <w:tcPr>
            <w:tcW w:w="5347" w:type="dxa"/>
          </w:tcPr>
          <w:p w14:paraId="6DB49628" w14:textId="77777777" w:rsidR="00E05ECF" w:rsidRPr="00AE382D" w:rsidRDefault="00E05ECF" w:rsidP="009C06F3">
            <w:pPr>
              <w:rPr>
                <w:rFonts w:ascii="Calibri" w:hAnsi="Calibri" w:cs="Calibri"/>
                <w:color w:val="000000"/>
                <w:lang w:val="es-ES"/>
              </w:rPr>
            </w:pPr>
            <w:r w:rsidRPr="00AE382D">
              <w:rPr>
                <w:color w:val="000000"/>
                <w:lang w:val="es-ES"/>
              </w:rPr>
              <w:t>Estudios adicionales de supervivencia para cubrir la pesca fuera de 12 millas náuticas</w:t>
            </w:r>
          </w:p>
          <w:p w14:paraId="3DB079C4" w14:textId="77E92E06" w:rsidR="009F701A" w:rsidRPr="00AE382D" w:rsidRDefault="009F701A" w:rsidP="001809C0">
            <w:pPr>
              <w:rPr>
                <w:lang w:val="es-ES"/>
              </w:rPr>
            </w:pPr>
          </w:p>
        </w:tc>
      </w:tr>
      <w:tr w:rsidR="00776CF9" w:rsidRPr="00AE382D" w14:paraId="5D6E5B13" w14:textId="77777777" w:rsidTr="00DA1D90">
        <w:tc>
          <w:tcPr>
            <w:tcW w:w="1508" w:type="dxa"/>
          </w:tcPr>
          <w:p w14:paraId="57667D1C" w14:textId="0092C7C0" w:rsidR="00776CF9" w:rsidRPr="00AE382D" w:rsidRDefault="00776CF9" w:rsidP="00776CF9">
            <w:pPr>
              <w:rPr>
                <w:b/>
                <w:bCs/>
                <w:lang w:val="es-ES"/>
              </w:rPr>
            </w:pPr>
            <w:r w:rsidRPr="00AE382D">
              <w:rPr>
                <w:b/>
                <w:bCs/>
                <w:lang w:val="es-ES"/>
              </w:rPr>
              <w:t xml:space="preserve">Nephrops 6 </w:t>
            </w:r>
            <w:r w:rsidR="00FD4888" w:rsidRPr="00AE382D">
              <w:rPr>
                <w:b/>
                <w:bCs/>
                <w:lang w:val="es-ES"/>
              </w:rPr>
              <w:t>y</w:t>
            </w:r>
            <w:r w:rsidRPr="00AE382D">
              <w:rPr>
                <w:b/>
                <w:bCs/>
                <w:lang w:val="es-ES"/>
              </w:rPr>
              <w:t xml:space="preserve"> 7</w:t>
            </w:r>
          </w:p>
        </w:tc>
        <w:tc>
          <w:tcPr>
            <w:tcW w:w="6181" w:type="dxa"/>
          </w:tcPr>
          <w:p w14:paraId="11DA77DC" w14:textId="6A213755" w:rsidR="00FD4888" w:rsidRPr="00AE382D" w:rsidRDefault="00FD4888" w:rsidP="00776CF9">
            <w:pPr>
              <w:rPr>
                <w:lang w:val="es-ES"/>
              </w:rPr>
            </w:pPr>
            <w:r w:rsidRPr="00AE382D">
              <w:rPr>
                <w:lang w:val="es-ES"/>
              </w:rPr>
              <w:t>capturada mediante trampas y nasas</w:t>
            </w:r>
          </w:p>
        </w:tc>
        <w:tc>
          <w:tcPr>
            <w:tcW w:w="5347" w:type="dxa"/>
          </w:tcPr>
          <w:p w14:paraId="053500DA" w14:textId="77777777" w:rsidR="00776CF9" w:rsidRPr="00AE382D" w:rsidRDefault="00776CF9" w:rsidP="00776CF9">
            <w:pPr>
              <w:rPr>
                <w:rFonts w:ascii="Calibri" w:hAnsi="Calibri" w:cs="Calibri"/>
                <w:color w:val="000000"/>
                <w:lang w:val="es-ES"/>
              </w:rPr>
            </w:pPr>
          </w:p>
        </w:tc>
      </w:tr>
      <w:tr w:rsidR="00776CF9" w:rsidRPr="00AE382D" w14:paraId="1CA94190" w14:textId="77777777" w:rsidTr="00DA1D90">
        <w:tc>
          <w:tcPr>
            <w:tcW w:w="1508" w:type="dxa"/>
          </w:tcPr>
          <w:p w14:paraId="54B921C8" w14:textId="1BD70053" w:rsidR="00776CF9" w:rsidRPr="00AE382D" w:rsidRDefault="00776CF9" w:rsidP="00776CF9">
            <w:pPr>
              <w:rPr>
                <w:b/>
                <w:bCs/>
                <w:lang w:val="es-ES"/>
              </w:rPr>
            </w:pPr>
            <w:r w:rsidRPr="00AE382D">
              <w:rPr>
                <w:b/>
                <w:bCs/>
                <w:lang w:val="es-ES"/>
              </w:rPr>
              <w:t>Nephrops 7</w:t>
            </w:r>
          </w:p>
        </w:tc>
        <w:tc>
          <w:tcPr>
            <w:tcW w:w="6181" w:type="dxa"/>
          </w:tcPr>
          <w:p w14:paraId="5D51D2F1" w14:textId="685AA449" w:rsidR="00776CF9" w:rsidRPr="00AE382D" w:rsidRDefault="00FD4888" w:rsidP="00776CF9">
            <w:pPr>
              <w:rPr>
                <w:lang w:val="es-ES"/>
              </w:rPr>
            </w:pPr>
            <w:r w:rsidRPr="00AE382D">
              <w:rPr>
                <w:lang w:val="es-ES"/>
              </w:rPr>
              <w:t>capturada con redes de arrastre de fondo</w:t>
            </w:r>
            <w:r w:rsidR="00C97D30" w:rsidRPr="00AE382D">
              <w:rPr>
                <w:lang w:val="es-ES"/>
              </w:rPr>
              <w:t xml:space="preserve"> </w:t>
            </w:r>
            <w:r w:rsidRPr="00AE382D">
              <w:rPr>
                <w:lang w:val="es-ES"/>
              </w:rPr>
              <w:t>con un tamaño de malla igual o superior a 100 mm</w:t>
            </w:r>
          </w:p>
        </w:tc>
        <w:tc>
          <w:tcPr>
            <w:tcW w:w="5347" w:type="dxa"/>
          </w:tcPr>
          <w:p w14:paraId="271646DD" w14:textId="77777777" w:rsidR="00776CF9" w:rsidRPr="00AE382D" w:rsidRDefault="00776CF9" w:rsidP="00776CF9">
            <w:pPr>
              <w:rPr>
                <w:rFonts w:ascii="Calibri" w:hAnsi="Calibri" w:cs="Calibri"/>
                <w:color w:val="000000"/>
                <w:lang w:val="es-ES"/>
              </w:rPr>
            </w:pPr>
          </w:p>
        </w:tc>
      </w:tr>
      <w:tr w:rsidR="00776CF9" w:rsidRPr="00AE382D" w14:paraId="644A0B26" w14:textId="77777777" w:rsidTr="00DA1D90">
        <w:tc>
          <w:tcPr>
            <w:tcW w:w="1508" w:type="dxa"/>
          </w:tcPr>
          <w:p w14:paraId="70F79A25" w14:textId="38EC1DE2" w:rsidR="00776CF9" w:rsidRPr="00AE382D" w:rsidRDefault="00776CF9" w:rsidP="00776CF9">
            <w:pPr>
              <w:rPr>
                <w:b/>
                <w:bCs/>
                <w:lang w:val="es-ES"/>
              </w:rPr>
            </w:pPr>
            <w:r w:rsidRPr="00AE382D">
              <w:rPr>
                <w:b/>
                <w:bCs/>
                <w:lang w:val="es-ES"/>
              </w:rPr>
              <w:t xml:space="preserve">Nephrops </w:t>
            </w:r>
            <w:r w:rsidR="00D052FC" w:rsidRPr="00AE382D">
              <w:rPr>
                <w:b/>
                <w:bCs/>
                <w:lang w:val="es-ES"/>
              </w:rPr>
              <w:t>7</w:t>
            </w:r>
          </w:p>
        </w:tc>
        <w:tc>
          <w:tcPr>
            <w:tcW w:w="6181" w:type="dxa"/>
          </w:tcPr>
          <w:p w14:paraId="65E17CF8" w14:textId="48B7CDC7" w:rsidR="00776CF9" w:rsidRPr="00AE382D" w:rsidRDefault="00FD4888" w:rsidP="00776CF9">
            <w:pPr>
              <w:rPr>
                <w:lang w:val="es-ES"/>
              </w:rPr>
            </w:pPr>
            <w:r w:rsidRPr="00AE382D">
              <w:rPr>
                <w:lang w:val="es-ES"/>
              </w:rPr>
              <w:t>capturada con redes de arrastre de fondo con un tamaño de malla de 70 a 99 mm en combinación con artes altamente selectivos, según lo establecido en el artículo 9, apartado 2, y en el artículo 10, apartado 2, del presente Reglamento</w:t>
            </w:r>
          </w:p>
        </w:tc>
        <w:tc>
          <w:tcPr>
            <w:tcW w:w="5347" w:type="dxa"/>
          </w:tcPr>
          <w:p w14:paraId="168415EE" w14:textId="77777777" w:rsidR="00776CF9" w:rsidRPr="00AE382D" w:rsidRDefault="00776CF9" w:rsidP="00776CF9">
            <w:pPr>
              <w:rPr>
                <w:rFonts w:ascii="Calibri" w:hAnsi="Calibri" w:cs="Calibri"/>
                <w:color w:val="000000"/>
                <w:lang w:val="es-ES"/>
              </w:rPr>
            </w:pPr>
          </w:p>
        </w:tc>
      </w:tr>
      <w:tr w:rsidR="00D052FC" w:rsidRPr="00AE382D" w14:paraId="6003D0D1" w14:textId="77777777" w:rsidTr="00DA1D90">
        <w:tc>
          <w:tcPr>
            <w:tcW w:w="1508" w:type="dxa"/>
          </w:tcPr>
          <w:p w14:paraId="10E478F4" w14:textId="5ED1867A" w:rsidR="00D052FC" w:rsidRPr="00AE382D" w:rsidRDefault="00FD4888" w:rsidP="00776CF9">
            <w:pPr>
              <w:rPr>
                <w:b/>
                <w:bCs/>
                <w:lang w:val="es-ES"/>
              </w:rPr>
            </w:pPr>
            <w:r w:rsidRPr="00AE382D">
              <w:rPr>
                <w:b/>
                <w:bCs/>
                <w:lang w:val="es-ES"/>
              </w:rPr>
              <w:t>Lenguado</w:t>
            </w:r>
            <w:r w:rsidR="00D052FC" w:rsidRPr="00AE382D">
              <w:rPr>
                <w:b/>
                <w:bCs/>
                <w:lang w:val="es-ES"/>
              </w:rPr>
              <w:t xml:space="preserve"> 7d </w:t>
            </w:r>
          </w:p>
        </w:tc>
        <w:tc>
          <w:tcPr>
            <w:tcW w:w="6181" w:type="dxa"/>
          </w:tcPr>
          <w:p w14:paraId="134CCEB8" w14:textId="77777777" w:rsidR="00E05ECF" w:rsidRPr="00AE382D" w:rsidRDefault="00E05ECF" w:rsidP="00D052FC">
            <w:pPr>
              <w:rPr>
                <w:lang w:val="es-ES"/>
              </w:rPr>
            </w:pPr>
            <w:r w:rsidRPr="00AE382D">
              <w:rPr>
                <w:lang w:val="es-ES"/>
              </w:rPr>
              <w:t xml:space="preserve">dentro del perímetro de seis millas náuticas a partir de la costa pero fuera de las zonas de viveros identificadas, capturas de lenguado europeo por debajo de la talla mínima de referencia a efectos de conservación efectuadas utilizando redes de arrastre con puertas con un tamaño de malla en el copo de 80 a 99 mm por buques: </w:t>
            </w:r>
          </w:p>
          <w:p w14:paraId="00378AD4" w14:textId="77777777" w:rsidR="00E05ECF" w:rsidRPr="00AE382D" w:rsidRDefault="00E05ECF" w:rsidP="00D052FC">
            <w:pPr>
              <w:rPr>
                <w:lang w:val="es-ES"/>
              </w:rPr>
            </w:pPr>
            <w:r w:rsidRPr="00AE382D">
              <w:rPr>
                <w:lang w:val="es-ES"/>
              </w:rPr>
              <w:t xml:space="preserve">a) con una eslora máxima de diez metros y una potencia máxima de motor de 221 kW, y </w:t>
            </w:r>
          </w:p>
          <w:p w14:paraId="2800F5E5" w14:textId="04A31A60" w:rsidR="00D052FC" w:rsidRPr="00AE382D" w:rsidRDefault="00E05ECF" w:rsidP="00D052FC">
            <w:pPr>
              <w:rPr>
                <w:lang w:val="es-ES"/>
              </w:rPr>
            </w:pPr>
            <w:r w:rsidRPr="00AE382D">
              <w:rPr>
                <w:lang w:val="es-ES"/>
              </w:rPr>
              <w:t>b) que faenen en aguas de una profundidad igual o inferior a treinta metros y con arrastres cuya duración no supere la hora y media</w:t>
            </w:r>
          </w:p>
        </w:tc>
        <w:tc>
          <w:tcPr>
            <w:tcW w:w="5347" w:type="dxa"/>
          </w:tcPr>
          <w:p w14:paraId="4175460D" w14:textId="77777777" w:rsidR="00E05ECF" w:rsidRPr="00AE382D" w:rsidRDefault="00E05ECF" w:rsidP="00F01DA4">
            <w:pPr>
              <w:rPr>
                <w:rFonts w:ascii="Calibri" w:hAnsi="Calibri" w:cs="Calibri"/>
                <w:lang w:val="es-ES"/>
              </w:rPr>
            </w:pPr>
            <w:r w:rsidRPr="00AE382D">
              <w:rPr>
                <w:lang w:val="es-ES"/>
              </w:rPr>
              <w:t>Supervisar la eficacia de las medidas de selectividad introducidas</w:t>
            </w:r>
          </w:p>
          <w:p w14:paraId="47E61015" w14:textId="7EEE7C72" w:rsidR="00D052FC" w:rsidRPr="00AE382D" w:rsidRDefault="00E05ECF" w:rsidP="00E9119A">
            <w:pPr>
              <w:rPr>
                <w:rFonts w:ascii="Calibri" w:hAnsi="Calibri" w:cs="Calibri"/>
                <w:color w:val="000000"/>
                <w:lang w:val="es-ES"/>
              </w:rPr>
            </w:pPr>
            <w:r w:rsidRPr="00AE382D">
              <w:rPr>
                <w:color w:val="000000"/>
                <w:lang w:val="es-ES"/>
              </w:rPr>
              <w:t>Reconsiderar una exención similar de alta supervivencia para la lengua única en 7e</w:t>
            </w:r>
            <w:r w:rsidRPr="00AE382D">
              <w:rPr>
                <w:lang w:val="es-ES"/>
              </w:rPr>
              <w:t xml:space="preserve"> que para el único en 7d, una vez que los EM proporcionen información sobre la composición de las capturas de pesca y la tasa de supervivencia conexa de la especie en las</w:t>
            </w:r>
            <w:r w:rsidRPr="00AE382D">
              <w:rPr>
                <w:color w:val="000000"/>
                <w:lang w:val="es-ES"/>
              </w:rPr>
              <w:t xml:space="preserve"> pesquerías pertinentes.</w:t>
            </w:r>
          </w:p>
        </w:tc>
      </w:tr>
      <w:tr w:rsidR="00776CF9" w:rsidRPr="00AE382D" w14:paraId="3BD74252" w14:textId="77777777" w:rsidTr="00DA1D90">
        <w:tc>
          <w:tcPr>
            <w:tcW w:w="1508" w:type="dxa"/>
          </w:tcPr>
          <w:p w14:paraId="109DE427" w14:textId="346DAF7A" w:rsidR="00776CF9" w:rsidRPr="00AE382D" w:rsidRDefault="00FD4888" w:rsidP="00776CF9">
            <w:pPr>
              <w:rPr>
                <w:rFonts w:ascii="Calibri" w:hAnsi="Calibri" w:cs="Calibri"/>
                <w:b/>
                <w:bCs/>
                <w:color w:val="000000"/>
                <w:lang w:val="es-ES"/>
              </w:rPr>
            </w:pPr>
            <w:r w:rsidRPr="00AE382D">
              <w:rPr>
                <w:rFonts w:ascii="Calibri" w:hAnsi="Calibri" w:cs="Calibri"/>
                <w:b/>
                <w:bCs/>
                <w:color w:val="000000"/>
                <w:lang w:val="es-ES"/>
              </w:rPr>
              <w:t>Rayas</w:t>
            </w:r>
            <w:r w:rsidR="00776CF9" w:rsidRPr="00AE382D">
              <w:rPr>
                <w:rFonts w:ascii="Calibri" w:hAnsi="Calibri" w:cs="Calibri"/>
                <w:b/>
                <w:bCs/>
                <w:color w:val="000000"/>
                <w:lang w:val="es-ES"/>
              </w:rPr>
              <w:t xml:space="preserve"> 6 &amp; 7*</w:t>
            </w:r>
          </w:p>
          <w:p w14:paraId="3DE8C612" w14:textId="77777777" w:rsidR="00776CF9" w:rsidRPr="00AE382D" w:rsidRDefault="00776CF9" w:rsidP="00776CF9">
            <w:pPr>
              <w:rPr>
                <w:b/>
                <w:bCs/>
                <w:lang w:val="es-ES"/>
              </w:rPr>
            </w:pPr>
          </w:p>
        </w:tc>
        <w:tc>
          <w:tcPr>
            <w:tcW w:w="6181" w:type="dxa"/>
          </w:tcPr>
          <w:p w14:paraId="26038685" w14:textId="29F94264" w:rsidR="00776CF9" w:rsidRPr="00AE382D" w:rsidRDefault="00E05ECF" w:rsidP="00776CF9">
            <w:pPr>
              <w:rPr>
                <w:rFonts w:ascii="Calibri" w:hAnsi="Calibri" w:cs="Calibri"/>
                <w:color w:val="000000"/>
                <w:lang w:val="es-ES"/>
              </w:rPr>
            </w:pPr>
            <w:r w:rsidRPr="00AE382D">
              <w:rPr>
                <w:lang w:val="es-ES"/>
              </w:rPr>
              <w:t>capturadas mediante cualquier arte de pesca en las aguas noroccidentales</w:t>
            </w:r>
          </w:p>
        </w:tc>
        <w:tc>
          <w:tcPr>
            <w:tcW w:w="5347" w:type="dxa"/>
          </w:tcPr>
          <w:p w14:paraId="704C57F5" w14:textId="17652A3B" w:rsidR="00776CF9" w:rsidRPr="00AE382D" w:rsidRDefault="00E05ECF" w:rsidP="00776CF9">
            <w:pPr>
              <w:rPr>
                <w:rFonts w:ascii="Calibri" w:hAnsi="Calibri" w:cs="Calibri"/>
                <w:color w:val="000000"/>
                <w:lang w:val="es-ES"/>
              </w:rPr>
            </w:pPr>
            <w:r w:rsidRPr="00AE382D">
              <w:rPr>
                <w:color w:val="000000"/>
                <w:lang w:val="es-ES"/>
              </w:rPr>
              <w:t>De acuerdo con la Hoja de Ruta para las rayas en las ANOC, el programa de recopilación de datos, otros experimentos de alta supervivencia y mejoras en la selectividad deben continuar.</w:t>
            </w:r>
          </w:p>
        </w:tc>
      </w:tr>
      <w:tr w:rsidR="00776CF9" w:rsidRPr="00AE382D" w14:paraId="2B12F32D" w14:textId="77777777" w:rsidTr="00DA1D90">
        <w:tc>
          <w:tcPr>
            <w:tcW w:w="1508" w:type="dxa"/>
          </w:tcPr>
          <w:p w14:paraId="713DE013" w14:textId="4A43F19E" w:rsidR="00776CF9" w:rsidRPr="00AE382D" w:rsidRDefault="00FD4888" w:rsidP="00776CF9">
            <w:pPr>
              <w:rPr>
                <w:rFonts w:ascii="Calibri" w:hAnsi="Calibri" w:cs="Calibri"/>
                <w:b/>
                <w:bCs/>
                <w:color w:val="000000"/>
                <w:lang w:val="es-ES"/>
              </w:rPr>
            </w:pPr>
            <w:r w:rsidRPr="00AE382D">
              <w:rPr>
                <w:rFonts w:ascii="Calibri" w:hAnsi="Calibri" w:cs="Calibri"/>
                <w:b/>
                <w:bCs/>
                <w:color w:val="000000"/>
                <w:lang w:val="es-ES"/>
              </w:rPr>
              <w:lastRenderedPageBreak/>
              <w:t>Solla</w:t>
            </w:r>
            <w:r w:rsidR="00776CF9" w:rsidRPr="00AE382D">
              <w:rPr>
                <w:rFonts w:ascii="Calibri" w:hAnsi="Calibri" w:cs="Calibri"/>
                <w:b/>
                <w:bCs/>
                <w:color w:val="000000"/>
                <w:lang w:val="es-ES"/>
              </w:rPr>
              <w:t xml:space="preserve"> 7d</w:t>
            </w:r>
            <w:r w:rsidR="00840FD8" w:rsidRPr="00AE382D">
              <w:rPr>
                <w:rFonts w:ascii="Calibri" w:hAnsi="Calibri" w:cs="Calibri"/>
                <w:b/>
                <w:bCs/>
                <w:color w:val="000000"/>
                <w:lang w:val="es-ES"/>
              </w:rPr>
              <w:t>-g</w:t>
            </w:r>
          </w:p>
        </w:tc>
        <w:tc>
          <w:tcPr>
            <w:tcW w:w="6181" w:type="dxa"/>
          </w:tcPr>
          <w:p w14:paraId="6DCA3B0D" w14:textId="020A5E72" w:rsidR="00776CF9" w:rsidRPr="00AE382D" w:rsidRDefault="00E05ECF" w:rsidP="00776CF9">
            <w:pPr>
              <w:rPr>
                <w:rFonts w:ascii="Calibri" w:hAnsi="Calibri" w:cs="Calibri"/>
                <w:color w:val="000000"/>
                <w:lang w:val="es-ES"/>
              </w:rPr>
            </w:pPr>
            <w:r w:rsidRPr="00AE382D">
              <w:rPr>
                <w:lang w:val="es-ES"/>
              </w:rPr>
              <w:t>Capturada con trasmallos</w:t>
            </w:r>
          </w:p>
        </w:tc>
        <w:tc>
          <w:tcPr>
            <w:tcW w:w="5347" w:type="dxa"/>
          </w:tcPr>
          <w:p w14:paraId="02484F32" w14:textId="5D44D560" w:rsidR="00776CF9" w:rsidRPr="00AE382D" w:rsidRDefault="00E05ECF" w:rsidP="00776CF9">
            <w:pPr>
              <w:rPr>
                <w:rFonts w:ascii="Calibri" w:hAnsi="Calibri" w:cs="Calibri"/>
                <w:color w:val="000000"/>
                <w:lang w:val="es-ES"/>
              </w:rPr>
            </w:pPr>
            <w:r w:rsidRPr="00AE382D">
              <w:rPr>
                <w:color w:val="000000"/>
                <w:lang w:val="es-ES"/>
              </w:rPr>
              <w:t>Debería priorizarse un mayor trabajo de supervivencia para confirmar las tasas de supervivencia.</w:t>
            </w:r>
          </w:p>
        </w:tc>
      </w:tr>
      <w:tr w:rsidR="00D052FC" w:rsidRPr="00AE382D" w14:paraId="6D98B092" w14:textId="77777777" w:rsidTr="00DA1D90">
        <w:tc>
          <w:tcPr>
            <w:tcW w:w="1508" w:type="dxa"/>
          </w:tcPr>
          <w:p w14:paraId="3BD4C254" w14:textId="2AEF36BB" w:rsidR="00D052FC" w:rsidRPr="00AE382D" w:rsidRDefault="00FD4888" w:rsidP="00776CF9">
            <w:pPr>
              <w:rPr>
                <w:rFonts w:ascii="Calibri" w:hAnsi="Calibri" w:cs="Calibri"/>
                <w:b/>
                <w:bCs/>
                <w:color w:val="000000"/>
                <w:lang w:val="es-ES"/>
              </w:rPr>
            </w:pPr>
            <w:r w:rsidRPr="00AE382D">
              <w:rPr>
                <w:rFonts w:ascii="Calibri" w:hAnsi="Calibri" w:cs="Calibri"/>
                <w:b/>
                <w:bCs/>
                <w:color w:val="000000"/>
                <w:lang w:val="es-ES"/>
              </w:rPr>
              <w:t>Solla</w:t>
            </w:r>
            <w:r w:rsidR="00840FD8" w:rsidRPr="00AE382D">
              <w:rPr>
                <w:rFonts w:ascii="Calibri" w:hAnsi="Calibri" w:cs="Calibri"/>
                <w:b/>
                <w:bCs/>
                <w:color w:val="000000"/>
                <w:lang w:val="es-ES"/>
              </w:rPr>
              <w:t xml:space="preserve"> 7d-g</w:t>
            </w:r>
          </w:p>
        </w:tc>
        <w:tc>
          <w:tcPr>
            <w:tcW w:w="6181" w:type="dxa"/>
          </w:tcPr>
          <w:p w14:paraId="6C2FF1C5" w14:textId="3300ECA1" w:rsidR="00D052FC" w:rsidRPr="00AE382D" w:rsidRDefault="00E05ECF" w:rsidP="00776CF9">
            <w:pPr>
              <w:rPr>
                <w:rFonts w:ascii="Calibri" w:hAnsi="Calibri" w:cs="Calibri"/>
                <w:color w:val="000000"/>
                <w:lang w:val="es-ES"/>
              </w:rPr>
            </w:pPr>
            <w:r w:rsidRPr="00AE382D">
              <w:rPr>
                <w:rFonts w:ascii="Calibri" w:hAnsi="Calibri" w:cs="Calibri"/>
                <w:color w:val="000000"/>
                <w:lang w:val="es-ES"/>
              </w:rPr>
              <w:t xml:space="preserve">Capturada con </w:t>
            </w:r>
            <w:r w:rsidRPr="00AE382D">
              <w:rPr>
                <w:lang w:val="es-ES"/>
              </w:rPr>
              <w:t>redes de arrastre con puertas</w:t>
            </w:r>
          </w:p>
        </w:tc>
        <w:tc>
          <w:tcPr>
            <w:tcW w:w="5347" w:type="dxa"/>
          </w:tcPr>
          <w:p w14:paraId="065B09EE" w14:textId="229E5A59" w:rsidR="00D052FC" w:rsidRPr="00AE382D" w:rsidRDefault="00E05ECF" w:rsidP="00776CF9">
            <w:pPr>
              <w:rPr>
                <w:rFonts w:ascii="Calibri" w:hAnsi="Calibri" w:cs="Calibri"/>
                <w:color w:val="000000"/>
                <w:lang w:val="es-ES"/>
              </w:rPr>
            </w:pPr>
            <w:r w:rsidRPr="00AE382D">
              <w:rPr>
                <w:color w:val="000000"/>
                <w:lang w:val="es-ES"/>
              </w:rPr>
              <w:t>Debería priorizarse un mayor trabajo de supervivencia para confirmar las tasas de supervivencia.</w:t>
            </w:r>
          </w:p>
        </w:tc>
      </w:tr>
      <w:tr w:rsidR="00D052FC" w:rsidRPr="00AE382D" w14:paraId="033C4510" w14:textId="77777777" w:rsidTr="00DA1D90">
        <w:tc>
          <w:tcPr>
            <w:tcW w:w="1508" w:type="dxa"/>
          </w:tcPr>
          <w:p w14:paraId="5122678E" w14:textId="4E460345" w:rsidR="00D052FC" w:rsidRPr="00AE382D" w:rsidRDefault="00FD4888" w:rsidP="00776CF9">
            <w:pPr>
              <w:rPr>
                <w:rFonts w:ascii="Calibri" w:hAnsi="Calibri" w:cs="Calibri"/>
                <w:b/>
                <w:bCs/>
                <w:color w:val="000000"/>
                <w:lang w:val="es-ES"/>
              </w:rPr>
            </w:pPr>
            <w:r w:rsidRPr="00AE382D">
              <w:rPr>
                <w:rFonts w:ascii="Calibri" w:hAnsi="Calibri" w:cs="Calibri"/>
                <w:b/>
                <w:bCs/>
                <w:color w:val="000000"/>
                <w:lang w:val="es-ES"/>
              </w:rPr>
              <w:t>Solla</w:t>
            </w:r>
            <w:r w:rsidR="00840FD8" w:rsidRPr="00AE382D">
              <w:rPr>
                <w:rFonts w:ascii="Calibri" w:hAnsi="Calibri" w:cs="Calibri"/>
                <w:b/>
                <w:bCs/>
                <w:color w:val="000000"/>
                <w:lang w:val="es-ES"/>
              </w:rPr>
              <w:t xml:space="preserve"> 7a-7k (temp</w:t>
            </w:r>
            <w:r w:rsidRPr="00AE382D">
              <w:rPr>
                <w:rFonts w:ascii="Calibri" w:hAnsi="Calibri" w:cs="Calibri"/>
                <w:b/>
                <w:bCs/>
                <w:color w:val="000000"/>
                <w:lang w:val="es-ES"/>
              </w:rPr>
              <w:t xml:space="preserve">orales </w:t>
            </w:r>
            <w:r w:rsidR="00840FD8" w:rsidRPr="00AE382D">
              <w:rPr>
                <w:rFonts w:ascii="Calibri" w:hAnsi="Calibri" w:cs="Calibri"/>
                <w:b/>
                <w:bCs/>
                <w:color w:val="000000"/>
                <w:lang w:val="es-ES"/>
              </w:rPr>
              <w:t>7h, j, k)</w:t>
            </w:r>
          </w:p>
        </w:tc>
        <w:tc>
          <w:tcPr>
            <w:tcW w:w="6181" w:type="dxa"/>
          </w:tcPr>
          <w:p w14:paraId="30F25F39" w14:textId="76DA6955" w:rsidR="006D6B27" w:rsidRPr="00AE382D" w:rsidRDefault="00E05ECF" w:rsidP="00776CF9">
            <w:pPr>
              <w:rPr>
                <w:lang w:val="es-ES"/>
              </w:rPr>
            </w:pPr>
            <w:r w:rsidRPr="00AE382D">
              <w:rPr>
                <w:lang w:val="es-ES"/>
              </w:rPr>
              <w:t>Capturada por buques que tengan una potencia máxima de motor superior a 221 kW y utilicen redes de arrastre de vara provistas de un cabo antipiedras o un panel de liberación del bentos.</w:t>
            </w:r>
          </w:p>
          <w:p w14:paraId="11628E0E" w14:textId="77777777" w:rsidR="00E05ECF" w:rsidRPr="00AE382D" w:rsidRDefault="00E05ECF" w:rsidP="00776CF9">
            <w:pPr>
              <w:rPr>
                <w:rFonts w:ascii="Calibri" w:hAnsi="Calibri" w:cs="Calibri"/>
                <w:color w:val="000000"/>
                <w:lang w:val="es-ES"/>
              </w:rPr>
            </w:pPr>
          </w:p>
          <w:p w14:paraId="2FEBA142" w14:textId="18E8ADD9" w:rsidR="006D6B27" w:rsidRPr="00AE382D" w:rsidRDefault="00E05ECF" w:rsidP="00776CF9">
            <w:pPr>
              <w:rPr>
                <w:rFonts w:ascii="Calibri" w:hAnsi="Calibri" w:cs="Calibri"/>
                <w:color w:val="000000"/>
                <w:lang w:val="es-ES"/>
              </w:rPr>
            </w:pPr>
            <w:r w:rsidRPr="00AE382D">
              <w:rPr>
                <w:rFonts w:ascii="Calibri" w:hAnsi="Calibri" w:cs="Calibri"/>
                <w:color w:val="000000"/>
                <w:lang w:val="es-ES"/>
              </w:rPr>
              <w:t>Los datos proporcionados por los EM para demostrar altas tasas de supervivencia de descarte para la solla no cubren todos los EM afectados y que, en esa pesquería, la supervivencia se ve afectada por muchos factores y es muy variable.</w:t>
            </w:r>
          </w:p>
        </w:tc>
        <w:tc>
          <w:tcPr>
            <w:tcW w:w="5347" w:type="dxa"/>
          </w:tcPr>
          <w:p w14:paraId="7D961F50" w14:textId="0DB46F90" w:rsidR="00D052FC" w:rsidRPr="00AE382D" w:rsidRDefault="004907E4" w:rsidP="00776CF9">
            <w:pPr>
              <w:rPr>
                <w:rFonts w:ascii="Calibri" w:hAnsi="Calibri" w:cs="Calibri"/>
                <w:color w:val="000000"/>
                <w:lang w:val="es-ES"/>
              </w:rPr>
            </w:pPr>
            <w:r w:rsidRPr="00AE382D">
              <w:rPr>
                <w:color w:val="000000"/>
                <w:lang w:val="es-ES"/>
              </w:rPr>
              <w:t xml:space="preserve">Se realizarán más estudios de supervivencia en pesquerías distintas de las redes de arrastre de vara con </w:t>
            </w:r>
            <w:r w:rsidRPr="00AE382D">
              <w:rPr>
                <w:lang w:val="es-ES"/>
              </w:rPr>
              <w:t xml:space="preserve">un esfuerzo especial para recoger estimaciones de </w:t>
            </w:r>
            <w:r w:rsidRPr="00AE382D">
              <w:rPr>
                <w:color w:val="000000"/>
                <w:lang w:val="es-ES"/>
              </w:rPr>
              <w:t>vitalidad, obtenidas por observadores a bordo, y la recopilación de fuentes de datos existentes (vitalidad anterior, datos de observadores y REM) para la solla</w:t>
            </w:r>
            <w:r w:rsidRPr="00AE382D">
              <w:rPr>
                <w:lang w:val="es-ES"/>
              </w:rPr>
              <w:t xml:space="preserve"> </w:t>
            </w:r>
            <w:r w:rsidRPr="00AE382D">
              <w:rPr>
                <w:color w:val="000000"/>
                <w:lang w:val="es-ES"/>
              </w:rPr>
              <w:t>en 7h.</w:t>
            </w:r>
          </w:p>
        </w:tc>
      </w:tr>
      <w:tr w:rsidR="00840FD8" w:rsidRPr="00AE382D" w14:paraId="7F9F94B5" w14:textId="77777777" w:rsidTr="00DA1D90">
        <w:tc>
          <w:tcPr>
            <w:tcW w:w="1508" w:type="dxa"/>
          </w:tcPr>
          <w:p w14:paraId="41C38729" w14:textId="5ED0C53D" w:rsidR="00840FD8" w:rsidRPr="00AE382D" w:rsidRDefault="00FD4888" w:rsidP="00776CF9">
            <w:pPr>
              <w:rPr>
                <w:rFonts w:ascii="Calibri" w:hAnsi="Calibri" w:cs="Calibri"/>
                <w:b/>
                <w:bCs/>
                <w:color w:val="000000"/>
                <w:lang w:val="es-ES"/>
              </w:rPr>
            </w:pPr>
            <w:r w:rsidRPr="00AE382D">
              <w:rPr>
                <w:rFonts w:ascii="Calibri" w:hAnsi="Calibri" w:cs="Calibri"/>
                <w:b/>
                <w:bCs/>
                <w:color w:val="000000"/>
                <w:lang w:val="es-ES"/>
              </w:rPr>
              <w:t>Solla</w:t>
            </w:r>
            <w:r w:rsidR="00840FD8" w:rsidRPr="00AE382D">
              <w:rPr>
                <w:rFonts w:ascii="Calibri" w:hAnsi="Calibri" w:cs="Calibri"/>
                <w:b/>
                <w:bCs/>
                <w:color w:val="000000"/>
                <w:lang w:val="es-ES"/>
              </w:rPr>
              <w:t xml:space="preserve"> 7a-7k (tempora</w:t>
            </w:r>
            <w:r w:rsidRPr="00AE382D">
              <w:rPr>
                <w:rFonts w:ascii="Calibri" w:hAnsi="Calibri" w:cs="Calibri"/>
                <w:b/>
                <w:bCs/>
                <w:color w:val="000000"/>
                <w:lang w:val="es-ES"/>
              </w:rPr>
              <w:t>les</w:t>
            </w:r>
            <w:r w:rsidR="00840FD8" w:rsidRPr="00AE382D">
              <w:rPr>
                <w:rFonts w:ascii="Calibri" w:hAnsi="Calibri" w:cs="Calibri"/>
                <w:b/>
                <w:bCs/>
                <w:color w:val="000000"/>
                <w:lang w:val="es-ES"/>
              </w:rPr>
              <w:t xml:space="preserve"> 7h, j, k)</w:t>
            </w:r>
          </w:p>
        </w:tc>
        <w:tc>
          <w:tcPr>
            <w:tcW w:w="6181" w:type="dxa"/>
          </w:tcPr>
          <w:p w14:paraId="1279943F" w14:textId="62211E21" w:rsidR="006D6B27" w:rsidRPr="00AE382D" w:rsidRDefault="00E05ECF" w:rsidP="00776CF9">
            <w:pPr>
              <w:rPr>
                <w:lang w:val="es-ES"/>
              </w:rPr>
            </w:pPr>
            <w:r w:rsidRPr="00AE382D">
              <w:rPr>
                <w:lang w:val="es-ES"/>
              </w:rPr>
              <w:t xml:space="preserve">Capturada por buques que utilicen redes de arrastre de vara (TBB) que tengan una potencia máxima de motor de 221 kW o una eslora máxima de 24 metros, construidos para faenar dentro del perímetro de doce millas náuticas a partir de la costa y con arrastres cuya duración media no supera la hora y media; </w:t>
            </w:r>
          </w:p>
          <w:p w14:paraId="2B8DC011" w14:textId="77777777" w:rsidR="00E05ECF" w:rsidRPr="00AE382D" w:rsidRDefault="00E05ECF" w:rsidP="00776CF9">
            <w:pPr>
              <w:rPr>
                <w:rFonts w:ascii="Calibri" w:hAnsi="Calibri" w:cs="Calibri"/>
                <w:color w:val="000000"/>
                <w:lang w:val="es-ES"/>
              </w:rPr>
            </w:pPr>
          </w:p>
          <w:p w14:paraId="052517F9" w14:textId="450B7851" w:rsidR="006D6B27" w:rsidRPr="00AE382D" w:rsidRDefault="00E05ECF" w:rsidP="00776CF9">
            <w:pPr>
              <w:rPr>
                <w:rFonts w:ascii="Calibri" w:hAnsi="Calibri" w:cs="Calibri"/>
                <w:color w:val="000000"/>
                <w:lang w:val="es-ES"/>
              </w:rPr>
            </w:pPr>
            <w:r w:rsidRPr="00AE382D">
              <w:rPr>
                <w:rFonts w:ascii="Calibri" w:hAnsi="Calibri" w:cs="Calibri"/>
                <w:color w:val="000000"/>
                <w:lang w:val="es-ES"/>
              </w:rPr>
              <w:t>Los datos proporcionados por los EM para demostrar altas tasas de supervivencia de descarte para la solla no cubren todos los EM afectados y que, en esa pesquería, la supervivencia se ve afectada por muchos factores y es muy variable.</w:t>
            </w:r>
          </w:p>
        </w:tc>
        <w:tc>
          <w:tcPr>
            <w:tcW w:w="5347" w:type="dxa"/>
          </w:tcPr>
          <w:p w14:paraId="7B156A65" w14:textId="6E408A2A" w:rsidR="00840FD8" w:rsidRPr="00AE382D" w:rsidRDefault="004907E4" w:rsidP="00776CF9">
            <w:pPr>
              <w:rPr>
                <w:rFonts w:ascii="Calibri" w:hAnsi="Calibri" w:cs="Calibri"/>
                <w:color w:val="000000"/>
                <w:lang w:val="es-ES"/>
              </w:rPr>
            </w:pPr>
            <w:r w:rsidRPr="00AE382D">
              <w:rPr>
                <w:color w:val="000000"/>
                <w:lang w:val="es-ES"/>
              </w:rPr>
              <w:t xml:space="preserve">Se realizarán más estudios de supervivencia en pesquerías distintas de las redes de arrastre de vara con </w:t>
            </w:r>
            <w:r w:rsidRPr="00AE382D">
              <w:rPr>
                <w:lang w:val="es-ES"/>
              </w:rPr>
              <w:t xml:space="preserve">un esfuerzo especial para recoger estimaciones de </w:t>
            </w:r>
            <w:r w:rsidRPr="00AE382D">
              <w:rPr>
                <w:color w:val="000000"/>
                <w:lang w:val="es-ES"/>
              </w:rPr>
              <w:t>vitalidad, obtenidas por observadores a bordo, y la recopilación de fuentes de datos existentes (vitalidad anterior, datos de observadores y REM) para la solla</w:t>
            </w:r>
            <w:r w:rsidRPr="00AE382D">
              <w:rPr>
                <w:lang w:val="es-ES"/>
              </w:rPr>
              <w:t xml:space="preserve"> </w:t>
            </w:r>
            <w:r w:rsidRPr="00AE382D">
              <w:rPr>
                <w:color w:val="000000"/>
                <w:lang w:val="es-ES"/>
              </w:rPr>
              <w:t>en 7h.</w:t>
            </w:r>
          </w:p>
        </w:tc>
      </w:tr>
      <w:tr w:rsidR="00D052FC" w:rsidRPr="00AE382D" w14:paraId="3E8471EA" w14:textId="77777777" w:rsidTr="00DA1D90">
        <w:tc>
          <w:tcPr>
            <w:tcW w:w="1508" w:type="dxa"/>
          </w:tcPr>
          <w:p w14:paraId="5847DB28" w14:textId="1881CD62" w:rsidR="00D052FC" w:rsidRPr="00AE382D" w:rsidRDefault="00FD4888" w:rsidP="00776CF9">
            <w:pPr>
              <w:rPr>
                <w:rFonts w:ascii="Calibri" w:hAnsi="Calibri" w:cs="Calibri"/>
                <w:b/>
                <w:bCs/>
                <w:color w:val="000000"/>
                <w:lang w:val="es-ES"/>
              </w:rPr>
            </w:pPr>
            <w:r w:rsidRPr="00AE382D">
              <w:rPr>
                <w:rFonts w:ascii="Calibri" w:hAnsi="Calibri" w:cs="Calibri"/>
                <w:b/>
                <w:bCs/>
                <w:color w:val="000000"/>
                <w:lang w:val="es-ES"/>
              </w:rPr>
              <w:t>Solla</w:t>
            </w:r>
            <w:r w:rsidR="00840FD8" w:rsidRPr="00AE382D">
              <w:rPr>
                <w:rFonts w:ascii="Calibri" w:hAnsi="Calibri" w:cs="Calibri"/>
                <w:b/>
                <w:bCs/>
                <w:color w:val="000000"/>
                <w:lang w:val="es-ES"/>
              </w:rPr>
              <w:t xml:space="preserve"> 7d</w:t>
            </w:r>
          </w:p>
        </w:tc>
        <w:tc>
          <w:tcPr>
            <w:tcW w:w="6181" w:type="dxa"/>
          </w:tcPr>
          <w:p w14:paraId="57AF62F3" w14:textId="7B88BCF0" w:rsidR="00D052FC" w:rsidRPr="00AE382D" w:rsidRDefault="00E05ECF" w:rsidP="00776CF9">
            <w:pPr>
              <w:rPr>
                <w:rFonts w:ascii="Calibri" w:hAnsi="Calibri" w:cs="Calibri"/>
                <w:color w:val="000000"/>
                <w:lang w:val="es-ES"/>
              </w:rPr>
            </w:pPr>
            <w:r w:rsidRPr="00AE382D">
              <w:rPr>
                <w:rFonts w:ascii="Calibri" w:hAnsi="Calibri" w:cs="Calibri"/>
                <w:color w:val="000000"/>
                <w:lang w:val="es-ES"/>
              </w:rPr>
              <w:t xml:space="preserve">Capturada </w:t>
            </w:r>
            <w:r w:rsidRPr="00AE382D">
              <w:rPr>
                <w:lang w:val="es-ES"/>
              </w:rPr>
              <w:t>con redes de tiro danesas</w:t>
            </w:r>
          </w:p>
        </w:tc>
        <w:tc>
          <w:tcPr>
            <w:tcW w:w="5347" w:type="dxa"/>
          </w:tcPr>
          <w:p w14:paraId="7E73E0CF" w14:textId="2DA1A779" w:rsidR="00D052FC" w:rsidRPr="00AE382D" w:rsidRDefault="004907E4" w:rsidP="00776CF9">
            <w:pPr>
              <w:rPr>
                <w:rFonts w:ascii="Calibri" w:hAnsi="Calibri" w:cs="Calibri"/>
                <w:color w:val="000000"/>
                <w:lang w:val="es-ES"/>
              </w:rPr>
            </w:pPr>
            <w:r w:rsidRPr="00AE382D">
              <w:rPr>
                <w:color w:val="000000"/>
                <w:lang w:val="es-ES"/>
              </w:rPr>
              <w:t>Debería priorizarse un mayor trabajo de supervivencia para confirmar las tasas de supervivencia.</w:t>
            </w:r>
          </w:p>
        </w:tc>
      </w:tr>
      <w:tr w:rsidR="00840FD8" w:rsidRPr="00AE382D" w14:paraId="14EE9697" w14:textId="77777777" w:rsidTr="00DA1D90">
        <w:tc>
          <w:tcPr>
            <w:tcW w:w="1508" w:type="dxa"/>
          </w:tcPr>
          <w:p w14:paraId="09472B0F" w14:textId="789664C2" w:rsidR="00840FD8" w:rsidRPr="00AE382D" w:rsidRDefault="00840FD8" w:rsidP="00776CF9">
            <w:pPr>
              <w:rPr>
                <w:rFonts w:ascii="Calibri" w:hAnsi="Calibri" w:cs="Calibri"/>
                <w:b/>
                <w:bCs/>
                <w:color w:val="000000"/>
                <w:lang w:val="es-ES"/>
              </w:rPr>
            </w:pPr>
            <w:r w:rsidRPr="00AE382D">
              <w:rPr>
                <w:rFonts w:ascii="Calibri" w:hAnsi="Calibri" w:cs="Calibri"/>
                <w:b/>
                <w:bCs/>
                <w:color w:val="000000"/>
                <w:lang w:val="es-ES"/>
              </w:rPr>
              <w:t>5b, 6 and 7</w:t>
            </w:r>
          </w:p>
        </w:tc>
        <w:tc>
          <w:tcPr>
            <w:tcW w:w="6181" w:type="dxa"/>
          </w:tcPr>
          <w:p w14:paraId="0A4B9E84" w14:textId="7BC44B68" w:rsidR="00840FD8" w:rsidRPr="00AE382D" w:rsidRDefault="00E05ECF" w:rsidP="00776CF9">
            <w:pPr>
              <w:rPr>
                <w:rFonts w:ascii="Calibri" w:hAnsi="Calibri" w:cs="Calibri"/>
                <w:color w:val="000000"/>
                <w:lang w:val="es-ES"/>
              </w:rPr>
            </w:pPr>
            <w:r w:rsidRPr="00AE382D">
              <w:rPr>
                <w:lang w:val="es-ES"/>
              </w:rPr>
              <w:t>Especies capturadas mediante trampas y nasas</w:t>
            </w:r>
          </w:p>
        </w:tc>
        <w:tc>
          <w:tcPr>
            <w:tcW w:w="5347" w:type="dxa"/>
          </w:tcPr>
          <w:p w14:paraId="120CED0C" w14:textId="77777777" w:rsidR="00840FD8" w:rsidRPr="00AE382D" w:rsidRDefault="00840FD8" w:rsidP="00776CF9">
            <w:pPr>
              <w:rPr>
                <w:rFonts w:ascii="Calibri" w:hAnsi="Calibri" w:cs="Calibri"/>
                <w:color w:val="000000"/>
                <w:lang w:val="es-ES"/>
              </w:rPr>
            </w:pPr>
          </w:p>
        </w:tc>
      </w:tr>
    </w:tbl>
    <w:p w14:paraId="339681F9" w14:textId="6E5526F2" w:rsidR="001809C0" w:rsidRPr="00AE382D" w:rsidRDefault="001809C0" w:rsidP="001809C0">
      <w:pPr>
        <w:rPr>
          <w:b/>
          <w:bCs/>
          <w:lang w:val="es-ES"/>
        </w:rPr>
      </w:pPr>
    </w:p>
    <w:p w14:paraId="53C4035B" w14:textId="1A39778E" w:rsidR="00782C38" w:rsidRPr="00AE382D" w:rsidRDefault="00FD4888" w:rsidP="001809C0">
      <w:pPr>
        <w:rPr>
          <w:b/>
          <w:bCs/>
          <w:lang w:val="es-ES"/>
        </w:rPr>
      </w:pPr>
      <w:r w:rsidRPr="00AE382D">
        <w:rPr>
          <w:b/>
          <w:bCs/>
          <w:lang w:val="es-ES"/>
        </w:rPr>
        <w:t>Exenciones d</w:t>
      </w:r>
      <w:r w:rsidR="00782C38" w:rsidRPr="00AE382D">
        <w:rPr>
          <w:b/>
          <w:bCs/>
          <w:lang w:val="es-ES"/>
        </w:rPr>
        <w:t>e minimis</w:t>
      </w:r>
    </w:p>
    <w:tbl>
      <w:tblPr>
        <w:tblStyle w:val="TableGrid"/>
        <w:tblW w:w="13036" w:type="dxa"/>
        <w:tblLook w:val="04A0" w:firstRow="1" w:lastRow="0" w:firstColumn="1" w:lastColumn="0" w:noHBand="0" w:noVBand="1"/>
      </w:tblPr>
      <w:tblGrid>
        <w:gridCol w:w="1555"/>
        <w:gridCol w:w="6095"/>
        <w:gridCol w:w="5386"/>
      </w:tblGrid>
      <w:tr w:rsidR="0052790A" w:rsidRPr="00AE382D" w14:paraId="34A0C7F1" w14:textId="77777777" w:rsidTr="00DA1D90">
        <w:tc>
          <w:tcPr>
            <w:tcW w:w="1555" w:type="dxa"/>
          </w:tcPr>
          <w:p w14:paraId="54EDB968" w14:textId="22B5A6E8" w:rsidR="0052790A" w:rsidRPr="00AE382D" w:rsidRDefault="0052790A" w:rsidP="0052790A">
            <w:pPr>
              <w:rPr>
                <w:b/>
                <w:bCs/>
                <w:lang w:val="es-ES"/>
              </w:rPr>
            </w:pPr>
            <w:r w:rsidRPr="00AE382D">
              <w:rPr>
                <w:b/>
                <w:bCs/>
                <w:lang w:val="es-ES"/>
              </w:rPr>
              <w:t>Stock</w:t>
            </w:r>
          </w:p>
        </w:tc>
        <w:tc>
          <w:tcPr>
            <w:tcW w:w="6095" w:type="dxa"/>
          </w:tcPr>
          <w:p w14:paraId="3EEEB2DB" w14:textId="401C2A41" w:rsidR="0052790A" w:rsidRPr="00AE382D" w:rsidRDefault="0052790A" w:rsidP="0052790A">
            <w:pPr>
              <w:rPr>
                <w:b/>
                <w:bCs/>
                <w:lang w:val="es-ES"/>
              </w:rPr>
            </w:pPr>
            <w:r w:rsidRPr="00AE382D">
              <w:rPr>
                <w:b/>
                <w:bCs/>
                <w:lang w:val="es-ES"/>
              </w:rPr>
              <w:t>Discard Plan 2019</w:t>
            </w:r>
          </w:p>
        </w:tc>
        <w:tc>
          <w:tcPr>
            <w:tcW w:w="5386" w:type="dxa"/>
          </w:tcPr>
          <w:p w14:paraId="665060DC" w14:textId="2BE75280" w:rsidR="0052790A" w:rsidRPr="00AE382D" w:rsidRDefault="004907E4" w:rsidP="0052790A">
            <w:pPr>
              <w:rPr>
                <w:b/>
                <w:bCs/>
                <w:lang w:val="es-ES"/>
              </w:rPr>
            </w:pPr>
            <w:r w:rsidRPr="00AE382D">
              <w:rPr>
                <w:b/>
                <w:bCs/>
                <w:lang w:val="es-ES"/>
              </w:rPr>
              <w:t>Dictamen del CC-ANOC</w:t>
            </w:r>
            <w:r w:rsidR="0052790A" w:rsidRPr="00AE382D">
              <w:rPr>
                <w:b/>
                <w:bCs/>
                <w:lang w:val="es-ES"/>
              </w:rPr>
              <w:t xml:space="preserve"> (Choke ID 2019)</w:t>
            </w:r>
          </w:p>
        </w:tc>
      </w:tr>
      <w:tr w:rsidR="00840FD8" w:rsidRPr="00AE382D" w14:paraId="0B45A952" w14:textId="77777777" w:rsidTr="00DA1D90">
        <w:tc>
          <w:tcPr>
            <w:tcW w:w="1555" w:type="dxa"/>
          </w:tcPr>
          <w:p w14:paraId="0A759CC3" w14:textId="6E4F1832" w:rsidR="00840FD8" w:rsidRPr="00AE382D" w:rsidRDefault="004907E4" w:rsidP="00782C38">
            <w:pPr>
              <w:rPr>
                <w:b/>
                <w:bCs/>
                <w:lang w:val="es-ES"/>
              </w:rPr>
            </w:pPr>
            <w:r w:rsidRPr="00AE382D">
              <w:rPr>
                <w:b/>
                <w:bCs/>
                <w:lang w:val="es-ES"/>
              </w:rPr>
              <w:t xml:space="preserve">Merlan </w:t>
            </w:r>
            <w:r w:rsidR="00840FD8" w:rsidRPr="00AE382D">
              <w:rPr>
                <w:b/>
                <w:bCs/>
                <w:lang w:val="es-ES"/>
              </w:rPr>
              <w:t>7b-k</w:t>
            </w:r>
          </w:p>
        </w:tc>
        <w:tc>
          <w:tcPr>
            <w:tcW w:w="6095" w:type="dxa"/>
          </w:tcPr>
          <w:p w14:paraId="5D0B9B29" w14:textId="6D008ADD" w:rsidR="00840FD8" w:rsidRPr="00AE382D" w:rsidRDefault="004907E4" w:rsidP="00782C38">
            <w:pPr>
              <w:rPr>
                <w:lang w:val="es-ES"/>
              </w:rPr>
            </w:pPr>
            <w:r w:rsidRPr="00AE382D">
              <w:rPr>
                <w:lang w:val="es-ES"/>
              </w:rPr>
              <w:t xml:space="preserve">hasta un máximo del 5 % del total anual de capturas de esta especie efectuadas por buques que utilizan redes de arrastre de fondo y jábegas con un tamaño de malla igual o superior a 80 </w:t>
            </w:r>
            <w:r w:rsidRPr="00AE382D">
              <w:rPr>
                <w:lang w:val="es-ES"/>
              </w:rPr>
              <w:lastRenderedPageBreak/>
              <w:t>mm, redes de arrastre pelágico y redes de arrastre de vara con un tamaño de malla de 80 a 119 mm</w:t>
            </w:r>
          </w:p>
        </w:tc>
        <w:tc>
          <w:tcPr>
            <w:tcW w:w="5386" w:type="dxa"/>
          </w:tcPr>
          <w:p w14:paraId="2D699EE6" w14:textId="0A4EE287" w:rsidR="00FB25A4" w:rsidRPr="00AE382D" w:rsidRDefault="00FB25A4" w:rsidP="007D7235">
            <w:pPr>
              <w:rPr>
                <w:lang w:val="es-ES"/>
              </w:rPr>
            </w:pPr>
            <w:r w:rsidRPr="00AE382D">
              <w:rPr>
                <w:lang w:val="es-ES"/>
              </w:rPr>
              <w:lastRenderedPageBreak/>
              <w:t>La mejora de la selectividad para el merlan en las pesquerías en las que las capturas no deseadas son más altas debería seguir siendo una prioridad.</w:t>
            </w:r>
          </w:p>
          <w:p w14:paraId="214C682F" w14:textId="4801B91E" w:rsidR="00840FD8" w:rsidRPr="00AE382D" w:rsidRDefault="00FB25A4" w:rsidP="006D6B27">
            <w:pPr>
              <w:rPr>
                <w:b/>
                <w:bCs/>
                <w:lang w:val="es-ES"/>
              </w:rPr>
            </w:pPr>
            <w:r w:rsidRPr="00AE382D">
              <w:rPr>
                <w:lang w:val="es-ES"/>
              </w:rPr>
              <w:lastRenderedPageBreak/>
              <w:t>La eficacia de las medidas de selectividad introducidas en 2019 debe supervisarse durante 2020.</w:t>
            </w:r>
          </w:p>
        </w:tc>
      </w:tr>
      <w:tr w:rsidR="00840FD8" w:rsidRPr="00AE382D" w14:paraId="333E1734" w14:textId="77777777" w:rsidTr="00DA1D90">
        <w:tc>
          <w:tcPr>
            <w:tcW w:w="1555" w:type="dxa"/>
          </w:tcPr>
          <w:p w14:paraId="7EBC4FF0" w14:textId="25A4BE11" w:rsidR="00840FD8" w:rsidRPr="00AE382D" w:rsidRDefault="004907E4" w:rsidP="00782C38">
            <w:pPr>
              <w:rPr>
                <w:b/>
                <w:bCs/>
                <w:lang w:val="es-ES"/>
              </w:rPr>
            </w:pPr>
            <w:r w:rsidRPr="00AE382D">
              <w:rPr>
                <w:b/>
                <w:bCs/>
                <w:lang w:val="es-ES"/>
              </w:rPr>
              <w:lastRenderedPageBreak/>
              <w:t xml:space="preserve">Lenguado </w:t>
            </w:r>
            <w:r w:rsidR="00840FD8" w:rsidRPr="00AE382D">
              <w:rPr>
                <w:b/>
                <w:bCs/>
                <w:lang w:val="es-ES"/>
              </w:rPr>
              <w:t>7d-g</w:t>
            </w:r>
          </w:p>
        </w:tc>
        <w:tc>
          <w:tcPr>
            <w:tcW w:w="6095" w:type="dxa"/>
          </w:tcPr>
          <w:p w14:paraId="1953B149" w14:textId="7CAEEB23" w:rsidR="00840FD8" w:rsidRPr="00AE382D" w:rsidRDefault="004907E4" w:rsidP="00782C38">
            <w:pPr>
              <w:rPr>
                <w:lang w:val="es-ES"/>
              </w:rPr>
            </w:pPr>
            <w:r w:rsidRPr="00AE382D">
              <w:rPr>
                <w:lang w:val="es-ES"/>
              </w:rPr>
              <w:t>hasta un máximo del 3 % del total anual de capturas de esta especie efectuadas por buques que utilizan trasmallos y redes de enmalle</w:t>
            </w:r>
          </w:p>
        </w:tc>
        <w:tc>
          <w:tcPr>
            <w:tcW w:w="5386" w:type="dxa"/>
          </w:tcPr>
          <w:p w14:paraId="41B83C5D" w14:textId="77777777" w:rsidR="00FB25A4" w:rsidRPr="00AE382D" w:rsidRDefault="00FB25A4" w:rsidP="00FB25A4">
            <w:pPr>
              <w:rPr>
                <w:lang w:val="es-ES"/>
              </w:rPr>
            </w:pPr>
            <w:r w:rsidRPr="00AE382D">
              <w:rPr>
                <w:lang w:val="es-ES"/>
              </w:rPr>
              <w:t>Priorizar el trabajo de alta supervivencia en 7f,g;</w:t>
            </w:r>
          </w:p>
          <w:p w14:paraId="3AC5042D" w14:textId="53F09F24" w:rsidR="00840FD8" w:rsidRPr="00AE382D" w:rsidRDefault="00FB25A4" w:rsidP="00FB25A4">
            <w:pPr>
              <w:rPr>
                <w:b/>
                <w:bCs/>
                <w:lang w:val="es-ES"/>
              </w:rPr>
            </w:pPr>
            <w:r w:rsidRPr="00AE382D">
              <w:rPr>
                <w:lang w:val="es-ES"/>
              </w:rPr>
              <w:t>Supervisar la eficacia de las medidas de selectividad introducidas.</w:t>
            </w:r>
          </w:p>
        </w:tc>
      </w:tr>
      <w:tr w:rsidR="00840FD8" w:rsidRPr="00AE382D" w14:paraId="2313264B" w14:textId="77777777" w:rsidTr="00DA1D90">
        <w:tc>
          <w:tcPr>
            <w:tcW w:w="1555" w:type="dxa"/>
          </w:tcPr>
          <w:p w14:paraId="20E03E07" w14:textId="4BE4F499" w:rsidR="00840FD8" w:rsidRPr="00AE382D" w:rsidRDefault="004907E4" w:rsidP="00782C38">
            <w:pPr>
              <w:rPr>
                <w:b/>
                <w:bCs/>
                <w:lang w:val="es-ES"/>
              </w:rPr>
            </w:pPr>
            <w:r w:rsidRPr="00AE382D">
              <w:rPr>
                <w:b/>
                <w:bCs/>
                <w:lang w:val="es-ES"/>
              </w:rPr>
              <w:t>Lenguado</w:t>
            </w:r>
            <w:r w:rsidR="00840FD8" w:rsidRPr="00AE382D">
              <w:rPr>
                <w:b/>
                <w:bCs/>
                <w:lang w:val="es-ES"/>
              </w:rPr>
              <w:t xml:space="preserve"> 7d-g</w:t>
            </w:r>
          </w:p>
        </w:tc>
        <w:tc>
          <w:tcPr>
            <w:tcW w:w="6095" w:type="dxa"/>
          </w:tcPr>
          <w:p w14:paraId="55B85621" w14:textId="07F6FC89" w:rsidR="00840FD8" w:rsidRPr="00AE382D" w:rsidRDefault="004907E4" w:rsidP="00782C38">
            <w:pPr>
              <w:rPr>
                <w:lang w:val="es-ES"/>
              </w:rPr>
            </w:pPr>
            <w:r w:rsidRPr="00AE382D">
              <w:rPr>
                <w:lang w:val="es-ES"/>
              </w:rPr>
              <w:t>hasta un máximo del 3 % del total anual de capturas de esta especie efectuadas por buques que utilizan artes TBB con un tamaño de malla de 80 a 119 mm provistos de un panel flamenco</w:t>
            </w:r>
          </w:p>
        </w:tc>
        <w:tc>
          <w:tcPr>
            <w:tcW w:w="5386" w:type="dxa"/>
          </w:tcPr>
          <w:p w14:paraId="234EF87D" w14:textId="77777777" w:rsidR="00FB25A4" w:rsidRPr="00AE382D" w:rsidRDefault="00FB25A4" w:rsidP="00FB25A4">
            <w:pPr>
              <w:rPr>
                <w:lang w:val="es-ES"/>
              </w:rPr>
            </w:pPr>
            <w:r w:rsidRPr="00AE382D">
              <w:rPr>
                <w:lang w:val="es-ES"/>
              </w:rPr>
              <w:t>Priorizar el trabajo de alta supervivencia en 7f,g;</w:t>
            </w:r>
          </w:p>
          <w:p w14:paraId="1BCD03B0" w14:textId="279F9CC4" w:rsidR="00840FD8" w:rsidRPr="00AE382D" w:rsidRDefault="00FB25A4" w:rsidP="00FB25A4">
            <w:pPr>
              <w:rPr>
                <w:b/>
                <w:bCs/>
                <w:lang w:val="es-ES"/>
              </w:rPr>
            </w:pPr>
            <w:r w:rsidRPr="00AE382D">
              <w:rPr>
                <w:lang w:val="es-ES"/>
              </w:rPr>
              <w:t>Supervisar la eficacia de las medidas de selectividad introducidas.</w:t>
            </w:r>
          </w:p>
        </w:tc>
      </w:tr>
      <w:tr w:rsidR="00840FD8" w:rsidRPr="00AE382D" w14:paraId="722AD5AC" w14:textId="77777777" w:rsidTr="00DA1D90">
        <w:tc>
          <w:tcPr>
            <w:tcW w:w="1555" w:type="dxa"/>
          </w:tcPr>
          <w:p w14:paraId="3FBC90D8" w14:textId="6872D8D4" w:rsidR="00840FD8" w:rsidRPr="00AE382D" w:rsidRDefault="00FB25A4" w:rsidP="00782C38">
            <w:pPr>
              <w:rPr>
                <w:b/>
                <w:bCs/>
                <w:lang w:val="es-ES"/>
              </w:rPr>
            </w:pPr>
            <w:r w:rsidRPr="00AE382D">
              <w:rPr>
                <w:b/>
                <w:bCs/>
                <w:lang w:val="es-ES"/>
              </w:rPr>
              <w:t>Caballa</w:t>
            </w:r>
            <w:r w:rsidR="00DA1D90" w:rsidRPr="00AE382D">
              <w:rPr>
                <w:b/>
                <w:bCs/>
                <w:lang w:val="es-ES"/>
              </w:rPr>
              <w:t xml:space="preserve"> 6 </w:t>
            </w:r>
            <w:r w:rsidRPr="00AE382D">
              <w:rPr>
                <w:b/>
                <w:bCs/>
                <w:lang w:val="es-ES"/>
              </w:rPr>
              <w:t xml:space="preserve">y </w:t>
            </w:r>
            <w:r w:rsidR="00DA1D90" w:rsidRPr="00AE382D">
              <w:rPr>
                <w:b/>
                <w:bCs/>
                <w:lang w:val="es-ES"/>
              </w:rPr>
              <w:t>7b-k</w:t>
            </w:r>
          </w:p>
        </w:tc>
        <w:tc>
          <w:tcPr>
            <w:tcW w:w="6095" w:type="dxa"/>
          </w:tcPr>
          <w:p w14:paraId="400D7547" w14:textId="3A50E11A" w:rsidR="00840FD8" w:rsidRPr="00AE382D" w:rsidRDefault="00FB25A4" w:rsidP="00782C38">
            <w:pPr>
              <w:rPr>
                <w:lang w:val="es-ES"/>
              </w:rPr>
            </w:pPr>
            <w:r w:rsidRPr="00AE382D">
              <w:rPr>
                <w:lang w:val="es-ES"/>
              </w:rPr>
              <w:t>hasta un máximo del 7 % en 2020 del total anual de capturas accesorias de esta especie efectuadas en pesquerías demersales mixtas por buques que utilizan redes de arrastre de fondo, jábegas y redes de arrastre de vara</w:t>
            </w:r>
          </w:p>
        </w:tc>
        <w:tc>
          <w:tcPr>
            <w:tcW w:w="5386" w:type="dxa"/>
          </w:tcPr>
          <w:p w14:paraId="5F58F138" w14:textId="77777777" w:rsidR="00840FD8" w:rsidRPr="00AE382D" w:rsidRDefault="00840FD8" w:rsidP="00782C38">
            <w:pPr>
              <w:rPr>
                <w:b/>
                <w:bCs/>
                <w:lang w:val="es-ES"/>
              </w:rPr>
            </w:pPr>
          </w:p>
        </w:tc>
      </w:tr>
      <w:tr w:rsidR="00840FD8" w:rsidRPr="00AE382D" w14:paraId="2CAE6BA4" w14:textId="77777777" w:rsidTr="00DA1D90">
        <w:tc>
          <w:tcPr>
            <w:tcW w:w="1555" w:type="dxa"/>
          </w:tcPr>
          <w:p w14:paraId="7CA09521" w14:textId="1306A159" w:rsidR="00840FD8" w:rsidRPr="00AE382D" w:rsidRDefault="00FB25A4" w:rsidP="00782C38">
            <w:pPr>
              <w:rPr>
                <w:b/>
                <w:bCs/>
                <w:lang w:val="es-ES"/>
              </w:rPr>
            </w:pPr>
            <w:r w:rsidRPr="00AE382D">
              <w:rPr>
                <w:b/>
                <w:bCs/>
                <w:lang w:val="es-ES"/>
              </w:rPr>
              <w:t>Jurel</w:t>
            </w:r>
            <w:r w:rsidR="00840FD8" w:rsidRPr="00AE382D">
              <w:rPr>
                <w:b/>
                <w:bCs/>
                <w:lang w:val="es-ES"/>
              </w:rPr>
              <w:t xml:space="preserve"> </w:t>
            </w:r>
            <w:r w:rsidR="00DA1D90" w:rsidRPr="00AE382D">
              <w:rPr>
                <w:b/>
                <w:bCs/>
                <w:lang w:val="es-ES"/>
              </w:rPr>
              <w:t xml:space="preserve">6 </w:t>
            </w:r>
            <w:r w:rsidRPr="00AE382D">
              <w:rPr>
                <w:b/>
                <w:bCs/>
                <w:lang w:val="es-ES"/>
              </w:rPr>
              <w:t>y</w:t>
            </w:r>
            <w:r w:rsidR="00DA1D90" w:rsidRPr="00AE382D">
              <w:rPr>
                <w:b/>
                <w:bCs/>
                <w:lang w:val="es-ES"/>
              </w:rPr>
              <w:t xml:space="preserve"> 7b-k</w:t>
            </w:r>
          </w:p>
        </w:tc>
        <w:tc>
          <w:tcPr>
            <w:tcW w:w="6095" w:type="dxa"/>
          </w:tcPr>
          <w:p w14:paraId="37861C68" w14:textId="11856CE2" w:rsidR="00840FD8" w:rsidRPr="00AE382D" w:rsidRDefault="00FB25A4" w:rsidP="00782C38">
            <w:pPr>
              <w:rPr>
                <w:lang w:val="es-ES"/>
              </w:rPr>
            </w:pPr>
            <w:r w:rsidRPr="00AE382D">
              <w:rPr>
                <w:lang w:val="es-ES"/>
              </w:rPr>
              <w:t>hasta un máximo del 7 % en 2020 del total anual de capturas accesorias de esta especie efectuadas en pesquerías demersales mixtas por buques que utilizan redes de arrastre de fondo, jábegas y redes de arrastre de vara</w:t>
            </w:r>
          </w:p>
        </w:tc>
        <w:tc>
          <w:tcPr>
            <w:tcW w:w="5386" w:type="dxa"/>
          </w:tcPr>
          <w:p w14:paraId="2EFCA0B7" w14:textId="77777777" w:rsidR="00840FD8" w:rsidRPr="00AE382D" w:rsidRDefault="00840FD8" w:rsidP="00782C38">
            <w:pPr>
              <w:rPr>
                <w:b/>
                <w:bCs/>
                <w:lang w:val="es-ES"/>
              </w:rPr>
            </w:pPr>
          </w:p>
        </w:tc>
      </w:tr>
      <w:tr w:rsidR="00782C38" w:rsidRPr="00AE382D" w14:paraId="4AE3E91F" w14:textId="77777777" w:rsidTr="00DA1D90">
        <w:tc>
          <w:tcPr>
            <w:tcW w:w="1555" w:type="dxa"/>
          </w:tcPr>
          <w:p w14:paraId="1723313C" w14:textId="32D49272" w:rsidR="00782C38" w:rsidRPr="00AE382D" w:rsidRDefault="004907E4" w:rsidP="00782C38">
            <w:pPr>
              <w:rPr>
                <w:b/>
                <w:bCs/>
                <w:lang w:val="es-ES"/>
              </w:rPr>
            </w:pPr>
            <w:r w:rsidRPr="00AE382D">
              <w:rPr>
                <w:b/>
                <w:bCs/>
                <w:lang w:val="es-ES"/>
              </w:rPr>
              <w:t>Eglefino</w:t>
            </w:r>
            <w:r w:rsidR="00782C38" w:rsidRPr="00AE382D">
              <w:rPr>
                <w:b/>
                <w:bCs/>
                <w:lang w:val="es-ES"/>
              </w:rPr>
              <w:t xml:space="preserve"> 6a</w:t>
            </w:r>
            <w:r w:rsidR="0052790A" w:rsidRPr="00AE382D">
              <w:rPr>
                <w:b/>
                <w:bCs/>
                <w:lang w:val="es-ES"/>
              </w:rPr>
              <w:t>*</w:t>
            </w:r>
          </w:p>
        </w:tc>
        <w:tc>
          <w:tcPr>
            <w:tcW w:w="6095" w:type="dxa"/>
          </w:tcPr>
          <w:p w14:paraId="04512F78" w14:textId="66096625" w:rsidR="00E75F6B" w:rsidRPr="00AE382D" w:rsidRDefault="00FB25A4" w:rsidP="00782C38">
            <w:pPr>
              <w:rPr>
                <w:lang w:val="es-ES"/>
              </w:rPr>
            </w:pPr>
            <w:r w:rsidRPr="00AE382D">
              <w:rPr>
                <w:lang w:val="es-ES"/>
              </w:rPr>
              <w:t>por debajo de la talla mínima de referencia a efectos de conservación, hasta un máximo del 3 % en 2020 del total anual de capturas de esta especie efectuadas por buques que utilizan redes de arrastre de fondo con un tamaño de malla de hasta 119 mm en la pesquería de cigala.</w:t>
            </w:r>
          </w:p>
          <w:p w14:paraId="11A08DE2" w14:textId="77777777" w:rsidR="00FB25A4" w:rsidRPr="00AE382D" w:rsidRDefault="00FB25A4" w:rsidP="00782C38">
            <w:pPr>
              <w:rPr>
                <w:lang w:val="es-ES"/>
              </w:rPr>
            </w:pPr>
          </w:p>
          <w:p w14:paraId="3C24859E" w14:textId="1B19820F" w:rsidR="00782C38" w:rsidRPr="00AE382D" w:rsidRDefault="00AE382D" w:rsidP="00782C38">
            <w:pPr>
              <w:rPr>
                <w:b/>
                <w:bCs/>
                <w:lang w:val="es-ES"/>
              </w:rPr>
            </w:pPr>
            <w:r w:rsidRPr="00AE382D">
              <w:rPr>
                <w:lang w:val="es-ES"/>
              </w:rPr>
              <w:t xml:space="preserve">El </w:t>
            </w:r>
            <w:r>
              <w:rPr>
                <w:lang w:val="es-ES"/>
              </w:rPr>
              <w:t>STECF</w:t>
            </w:r>
            <w:r w:rsidRPr="00AE382D">
              <w:rPr>
                <w:lang w:val="es-ES"/>
              </w:rPr>
              <w:t xml:space="preserve"> concluyó que la justificación para el análisis se basa en un análisis del costo desproporcionado de manejar las capturas no deseadas. El </w:t>
            </w:r>
            <w:r>
              <w:rPr>
                <w:lang w:val="es-ES"/>
              </w:rPr>
              <w:t>STECF</w:t>
            </w:r>
            <w:r w:rsidRPr="00AE382D">
              <w:rPr>
                <w:lang w:val="es-ES"/>
              </w:rPr>
              <w:t xml:space="preserve"> señala que los costos parecen ser razonables, sin embargo, no hay medios objetivos para evaluar si son realistas o si pueden considerarse desproporcionados.</w:t>
            </w:r>
          </w:p>
        </w:tc>
        <w:tc>
          <w:tcPr>
            <w:tcW w:w="5386" w:type="dxa"/>
          </w:tcPr>
          <w:p w14:paraId="640A89B4" w14:textId="77777777" w:rsidR="00FB25A4" w:rsidRPr="00AE382D" w:rsidRDefault="00FB25A4" w:rsidP="004D1358">
            <w:pPr>
              <w:rPr>
                <w:lang w:val="es-ES"/>
              </w:rPr>
            </w:pPr>
            <w:r w:rsidRPr="00AE382D">
              <w:rPr>
                <w:lang w:val="es-ES"/>
              </w:rPr>
              <w:t>Acelerar la introducción de medidas técnicas y supervisar la eficacia de las medidas introducidas.</w:t>
            </w:r>
          </w:p>
          <w:p w14:paraId="6026C86D" w14:textId="03519D41" w:rsidR="006D6B27" w:rsidRPr="00AE382D" w:rsidRDefault="00FB25A4" w:rsidP="00782C38">
            <w:pPr>
              <w:rPr>
                <w:b/>
                <w:bCs/>
                <w:lang w:val="es-ES"/>
              </w:rPr>
            </w:pPr>
            <w:r w:rsidRPr="00AE382D">
              <w:rPr>
                <w:lang w:val="es-ES"/>
              </w:rPr>
              <w:t>Explore los cierres espaciales/temporales.</w:t>
            </w:r>
          </w:p>
        </w:tc>
      </w:tr>
      <w:tr w:rsidR="00782C38" w:rsidRPr="00AE382D" w14:paraId="324BCC38" w14:textId="77777777" w:rsidTr="00DA1D90">
        <w:tc>
          <w:tcPr>
            <w:tcW w:w="1555" w:type="dxa"/>
          </w:tcPr>
          <w:p w14:paraId="247316D7" w14:textId="64FF8BD8" w:rsidR="00782C38" w:rsidRPr="00AE382D" w:rsidRDefault="004907E4" w:rsidP="001809C0">
            <w:pPr>
              <w:rPr>
                <w:b/>
                <w:bCs/>
                <w:lang w:val="es-ES"/>
              </w:rPr>
            </w:pPr>
            <w:r w:rsidRPr="00AE382D">
              <w:rPr>
                <w:b/>
                <w:bCs/>
                <w:lang w:val="es-ES"/>
              </w:rPr>
              <w:t xml:space="preserve">Eglefino </w:t>
            </w:r>
            <w:r w:rsidR="00AF7FFA" w:rsidRPr="00AE382D">
              <w:rPr>
                <w:b/>
                <w:bCs/>
                <w:lang w:val="es-ES"/>
              </w:rPr>
              <w:t xml:space="preserve">7b-c </w:t>
            </w:r>
            <w:r w:rsidR="00FB25A4" w:rsidRPr="00AE382D">
              <w:rPr>
                <w:b/>
                <w:bCs/>
                <w:lang w:val="es-ES"/>
              </w:rPr>
              <w:t>y</w:t>
            </w:r>
            <w:r w:rsidR="00AF7FFA" w:rsidRPr="00AE382D">
              <w:rPr>
                <w:b/>
                <w:bCs/>
                <w:lang w:val="es-ES"/>
              </w:rPr>
              <w:t xml:space="preserve"> 7e-k</w:t>
            </w:r>
            <w:r w:rsidR="0052790A" w:rsidRPr="00AE382D">
              <w:rPr>
                <w:b/>
                <w:bCs/>
                <w:lang w:val="es-ES"/>
              </w:rPr>
              <w:t>*</w:t>
            </w:r>
          </w:p>
        </w:tc>
        <w:tc>
          <w:tcPr>
            <w:tcW w:w="6095" w:type="dxa"/>
          </w:tcPr>
          <w:p w14:paraId="2329BBF3" w14:textId="6F4F5B9B" w:rsidR="00782C38" w:rsidRPr="00AE382D" w:rsidRDefault="00FB25A4" w:rsidP="001809C0">
            <w:pPr>
              <w:rPr>
                <w:lang w:val="es-ES"/>
              </w:rPr>
            </w:pPr>
            <w:r w:rsidRPr="00AE382D">
              <w:rPr>
                <w:lang w:val="es-ES"/>
              </w:rPr>
              <w:t>hasta un máximo del 5 % en 2020 del total anual de capturas de esta especie efectuadas por buques que utilizan redes de arrastre de fondo, jábegas y redes de arrastre de vara con un tamaño de malla igual o superior a 80 mm</w:t>
            </w:r>
            <w:r w:rsidR="00AF7FFA" w:rsidRPr="00AE382D">
              <w:rPr>
                <w:lang w:val="es-ES"/>
              </w:rPr>
              <w:t xml:space="preserve">. </w:t>
            </w:r>
          </w:p>
          <w:p w14:paraId="374D0C56" w14:textId="77777777" w:rsidR="00E75F6B" w:rsidRPr="00AE382D" w:rsidRDefault="00E75F6B" w:rsidP="001809C0">
            <w:pPr>
              <w:rPr>
                <w:lang w:val="es-ES"/>
              </w:rPr>
            </w:pPr>
          </w:p>
          <w:p w14:paraId="6E400201" w14:textId="55480280" w:rsidR="00E75F6B" w:rsidRPr="00AE382D" w:rsidRDefault="00AE382D" w:rsidP="001809C0">
            <w:pPr>
              <w:rPr>
                <w:lang w:val="es-ES"/>
              </w:rPr>
            </w:pPr>
            <w:r w:rsidRPr="00AE382D">
              <w:rPr>
                <w:lang w:val="es-ES"/>
              </w:rPr>
              <w:lastRenderedPageBreak/>
              <w:t xml:space="preserve">El </w:t>
            </w:r>
            <w:r>
              <w:rPr>
                <w:lang w:val="es-ES"/>
              </w:rPr>
              <w:t>STECF</w:t>
            </w:r>
            <w:r w:rsidRPr="00AE382D">
              <w:rPr>
                <w:lang w:val="es-ES"/>
              </w:rPr>
              <w:t xml:space="preserve"> concluyó que la información proporcionada muestra que las mejoras en la selectividad para el eglefino son difíciles de lograr sin pérdidas sustanciales a corto plazo en las capturas comercializables. El</w:t>
            </w:r>
            <w:r>
              <w:rPr>
                <w:lang w:val="es-ES"/>
              </w:rPr>
              <w:t xml:space="preserve"> STECF</w:t>
            </w:r>
            <w:r w:rsidRPr="00AE382D">
              <w:rPr>
                <w:lang w:val="es-ES"/>
              </w:rPr>
              <w:t xml:space="preserve"> señala que se espera que las medidas técnicas específicas en la zona de protección del Mar Céltico reduzcan las capturas no deseadas de eglefino en menor medida, pero es demasiado pronto para evaluar los posibles logros.</w:t>
            </w:r>
          </w:p>
        </w:tc>
        <w:tc>
          <w:tcPr>
            <w:tcW w:w="5386" w:type="dxa"/>
          </w:tcPr>
          <w:p w14:paraId="1F6AE387" w14:textId="638CB2F3" w:rsidR="00FB25A4" w:rsidRPr="00AE382D" w:rsidRDefault="00FB25A4" w:rsidP="000945BA">
            <w:pPr>
              <w:rPr>
                <w:lang w:val="es-ES"/>
              </w:rPr>
            </w:pPr>
            <w:r w:rsidRPr="00AE382D">
              <w:rPr>
                <w:lang w:val="es-ES"/>
              </w:rPr>
              <w:lastRenderedPageBreak/>
              <w:t>M</w:t>
            </w:r>
            <w:r w:rsidR="00AE382D">
              <w:rPr>
                <w:lang w:val="es-ES"/>
              </w:rPr>
              <w:t>ejorar la</w:t>
            </w:r>
            <w:bookmarkStart w:id="1" w:name="_GoBack"/>
            <w:bookmarkEnd w:id="1"/>
            <w:r w:rsidR="00AE382D">
              <w:rPr>
                <w:lang w:val="es-ES"/>
              </w:rPr>
              <w:t xml:space="preserve"> </w:t>
            </w:r>
            <w:r w:rsidRPr="00AE382D">
              <w:rPr>
                <w:lang w:val="es-ES"/>
              </w:rPr>
              <w:t>selectividad para el eglefino en las pesquerías donde las capturas no deseadas son más altas deben seguir siendo una prioridad.</w:t>
            </w:r>
          </w:p>
          <w:p w14:paraId="2899E0A4" w14:textId="62A787FC" w:rsidR="00782C38" w:rsidRPr="00AE382D" w:rsidRDefault="00FB25A4" w:rsidP="006D6B27">
            <w:pPr>
              <w:rPr>
                <w:lang w:val="es-ES"/>
              </w:rPr>
            </w:pPr>
            <w:r w:rsidRPr="00AE382D">
              <w:rPr>
                <w:lang w:val="es-ES"/>
              </w:rPr>
              <w:t>La eficacia de las medidas de selectividad introducidas en 2019 debe supervisarse durante 2020.</w:t>
            </w:r>
          </w:p>
        </w:tc>
      </w:tr>
      <w:tr w:rsidR="00782C38" w:rsidRPr="00AE382D" w14:paraId="30AF9A27" w14:textId="77777777" w:rsidTr="00DA1D90">
        <w:tc>
          <w:tcPr>
            <w:tcW w:w="1555" w:type="dxa"/>
          </w:tcPr>
          <w:p w14:paraId="20E6559D" w14:textId="59639229" w:rsidR="00782C38" w:rsidRPr="00AE382D" w:rsidRDefault="004907E4" w:rsidP="001809C0">
            <w:pPr>
              <w:rPr>
                <w:b/>
                <w:bCs/>
                <w:lang w:val="es-ES"/>
              </w:rPr>
            </w:pPr>
            <w:r w:rsidRPr="00AE382D">
              <w:rPr>
                <w:b/>
                <w:bCs/>
                <w:lang w:val="es-ES"/>
              </w:rPr>
              <w:t>Lenguado</w:t>
            </w:r>
            <w:r w:rsidR="00AF7FFA" w:rsidRPr="00AE382D">
              <w:rPr>
                <w:b/>
                <w:bCs/>
                <w:lang w:val="es-ES"/>
              </w:rPr>
              <w:t xml:space="preserve"> 7a</w:t>
            </w:r>
            <w:r w:rsidR="003C7DB9" w:rsidRPr="00AE382D">
              <w:rPr>
                <w:b/>
                <w:bCs/>
                <w:lang w:val="es-ES"/>
              </w:rPr>
              <w:t xml:space="preserve">, 7j </w:t>
            </w:r>
            <w:r w:rsidR="00FB25A4" w:rsidRPr="00AE382D">
              <w:rPr>
                <w:b/>
                <w:bCs/>
                <w:lang w:val="es-ES"/>
              </w:rPr>
              <w:t>y</w:t>
            </w:r>
            <w:r w:rsidR="003C7DB9" w:rsidRPr="00AE382D">
              <w:rPr>
                <w:b/>
                <w:bCs/>
                <w:lang w:val="es-ES"/>
              </w:rPr>
              <w:t xml:space="preserve"> 7k</w:t>
            </w:r>
            <w:r w:rsidR="0052790A" w:rsidRPr="00AE382D">
              <w:rPr>
                <w:b/>
                <w:bCs/>
                <w:lang w:val="es-ES"/>
              </w:rPr>
              <w:t>*</w:t>
            </w:r>
          </w:p>
        </w:tc>
        <w:tc>
          <w:tcPr>
            <w:tcW w:w="6095" w:type="dxa"/>
          </w:tcPr>
          <w:p w14:paraId="70D56BCF" w14:textId="3663EA5C" w:rsidR="00E75F6B" w:rsidRPr="00AE382D" w:rsidRDefault="00FB25A4" w:rsidP="001809C0">
            <w:pPr>
              <w:rPr>
                <w:lang w:val="es-ES"/>
              </w:rPr>
            </w:pPr>
            <w:r w:rsidRPr="00AE382D">
              <w:rPr>
                <w:lang w:val="es-ES"/>
              </w:rPr>
              <w:t>hasta un máximo del 3 % en 2020 del total anual de capturas de esta especie efectuadas por buques que utilizan redes de arrastre de vara con un tamaño de malla de 80 a 119 mm con mayor selectividad (panel flamenco).</w:t>
            </w:r>
          </w:p>
          <w:p w14:paraId="3222A629" w14:textId="77777777" w:rsidR="00FB25A4" w:rsidRPr="00AE382D" w:rsidRDefault="00FB25A4" w:rsidP="001809C0">
            <w:pPr>
              <w:rPr>
                <w:lang w:val="es-ES"/>
              </w:rPr>
            </w:pPr>
          </w:p>
          <w:p w14:paraId="3F6F36A3" w14:textId="062BC11F" w:rsidR="00E75F6B" w:rsidRPr="00AE382D" w:rsidRDefault="00AE382D" w:rsidP="00AE382D">
            <w:pPr>
              <w:rPr>
                <w:lang w:val="es-ES"/>
              </w:rPr>
            </w:pPr>
            <w:r w:rsidRPr="00AE382D">
              <w:rPr>
                <w:lang w:val="es-ES"/>
              </w:rPr>
              <w:t xml:space="preserve">Exención existente pero revisada aumentando el alcance para cubrir las divisiones CIEM 7a, 7j y 7k. La nueva información suministrada se limita a una descripción del número de buques de arrastre de </w:t>
            </w:r>
            <w:r>
              <w:rPr>
                <w:lang w:val="es-ES"/>
              </w:rPr>
              <w:t>vara</w:t>
            </w:r>
            <w:r w:rsidRPr="00AE382D">
              <w:rPr>
                <w:lang w:val="es-ES"/>
              </w:rPr>
              <w:t xml:space="preserve"> belgas e irlandeses involucrados en la pesquería en 7a, j, k en 2016-2018 y sus capturas asociadas. No está claro si otros Estados miembros tienen buques que operen en la pesquería. La justificación para la exención es la misma que la exención de minimis existente para </w:t>
            </w:r>
            <w:r>
              <w:rPr>
                <w:lang w:val="es-ES"/>
              </w:rPr>
              <w:t>el lenguado</w:t>
            </w:r>
            <w:r w:rsidRPr="00AE382D">
              <w:rPr>
                <w:lang w:val="es-ES"/>
              </w:rPr>
              <w:t xml:space="preserve"> común para las redes de arrastre de v</w:t>
            </w:r>
            <w:r>
              <w:rPr>
                <w:lang w:val="es-ES"/>
              </w:rPr>
              <w:t>ara</w:t>
            </w:r>
            <w:r w:rsidRPr="00AE382D">
              <w:rPr>
                <w:lang w:val="es-ES"/>
              </w:rPr>
              <w:t xml:space="preserve"> en el Canal (7d, 7e) y el Mar Celta (7f, 7g, 7h). Se basa en la selectividad que ha mejorado mediante la introducción de modificaciones de engranajes. Se requiere de minimis para cubrir las capturas residuales no deseadas. Se supone que las pesquerías cubiertas por la exención existente son las mismas pesquerías y que el arte selectivo será tan efectivo para reducir las capturas no deseadas de lenguado en las áreas propuestas para ser incluidas. Sin embargo, no se ha proporcionado información a este efecto.</w:t>
            </w:r>
          </w:p>
        </w:tc>
        <w:tc>
          <w:tcPr>
            <w:tcW w:w="5386" w:type="dxa"/>
          </w:tcPr>
          <w:p w14:paraId="288FD373" w14:textId="1BC7627A" w:rsidR="00782C38" w:rsidRPr="00AE382D" w:rsidRDefault="00FB25A4" w:rsidP="001809C0">
            <w:pPr>
              <w:rPr>
                <w:lang w:val="es-ES"/>
              </w:rPr>
            </w:pPr>
            <w:r w:rsidRPr="00AE382D">
              <w:rPr>
                <w:lang w:val="es-ES"/>
              </w:rPr>
              <w:t>Priori</w:t>
            </w:r>
            <w:r w:rsidR="00DD3DC3" w:rsidRPr="00AE382D">
              <w:rPr>
                <w:lang w:val="es-ES"/>
              </w:rPr>
              <w:t>zar</w:t>
            </w:r>
            <w:r w:rsidRPr="00AE382D">
              <w:rPr>
                <w:lang w:val="es-ES"/>
              </w:rPr>
              <w:t xml:space="preserve"> experimentos de supervivencia en la pesca de arrastre en 7h,j,k.</w:t>
            </w:r>
          </w:p>
        </w:tc>
      </w:tr>
      <w:tr w:rsidR="00782C38" w:rsidRPr="00AE382D" w14:paraId="41B6C8CA" w14:textId="77777777" w:rsidTr="00DA1D90">
        <w:tc>
          <w:tcPr>
            <w:tcW w:w="1555" w:type="dxa"/>
          </w:tcPr>
          <w:p w14:paraId="38356251" w14:textId="2692F79A" w:rsidR="00782C38" w:rsidRPr="00AE382D" w:rsidRDefault="004907E4" w:rsidP="001809C0">
            <w:pPr>
              <w:rPr>
                <w:b/>
                <w:bCs/>
                <w:lang w:val="es-ES"/>
              </w:rPr>
            </w:pPr>
            <w:r w:rsidRPr="00AE382D">
              <w:rPr>
                <w:b/>
                <w:bCs/>
                <w:lang w:val="es-ES"/>
              </w:rPr>
              <w:t>Gallo</w:t>
            </w:r>
            <w:r w:rsidR="00AF7FFA" w:rsidRPr="00AE382D">
              <w:rPr>
                <w:b/>
                <w:bCs/>
                <w:lang w:val="es-ES"/>
              </w:rPr>
              <w:t xml:space="preserve"> 7</w:t>
            </w:r>
            <w:r w:rsidR="0052790A" w:rsidRPr="00AE382D">
              <w:rPr>
                <w:b/>
                <w:bCs/>
                <w:lang w:val="es-ES"/>
              </w:rPr>
              <w:t>*</w:t>
            </w:r>
          </w:p>
        </w:tc>
        <w:tc>
          <w:tcPr>
            <w:tcW w:w="6095" w:type="dxa"/>
          </w:tcPr>
          <w:p w14:paraId="4FE9662B" w14:textId="451E145A" w:rsidR="003C7DB9" w:rsidRPr="00AE382D" w:rsidRDefault="004907E4" w:rsidP="001809C0">
            <w:pPr>
              <w:rPr>
                <w:lang w:val="es-ES"/>
              </w:rPr>
            </w:pPr>
            <w:r w:rsidRPr="00AE382D">
              <w:rPr>
                <w:lang w:val="es-ES"/>
              </w:rPr>
              <w:t xml:space="preserve">por debajo de la TMRC, hasta un máximo del 5 % en 2020 del total anual de capturas de esta especie efectuadas por buques que utilizan redes de arrastre de fondo (con un tamaño de malla </w:t>
            </w:r>
            <w:r w:rsidRPr="00AE382D">
              <w:rPr>
                <w:lang w:val="es-ES"/>
              </w:rPr>
              <w:lastRenderedPageBreak/>
              <w:t>de 70 a 99 mm y redes de arrastre de vara con un tamaño de malla de 80 a 199 mm</w:t>
            </w:r>
          </w:p>
          <w:p w14:paraId="2DFF9524" w14:textId="77777777" w:rsidR="004907E4" w:rsidRPr="00AE382D" w:rsidRDefault="004907E4" w:rsidP="001809C0">
            <w:pPr>
              <w:rPr>
                <w:lang w:val="es-ES"/>
              </w:rPr>
            </w:pPr>
          </w:p>
          <w:p w14:paraId="73098C9F" w14:textId="603F455F" w:rsidR="003C7DB9" w:rsidRPr="00AE382D" w:rsidRDefault="00AE382D" w:rsidP="001809C0">
            <w:pPr>
              <w:rPr>
                <w:lang w:val="es-ES"/>
              </w:rPr>
            </w:pPr>
            <w:r w:rsidRPr="00AE382D">
              <w:rPr>
                <w:lang w:val="es-ES"/>
              </w:rPr>
              <w:t xml:space="preserve">El </w:t>
            </w:r>
            <w:r>
              <w:rPr>
                <w:lang w:val="es-ES"/>
              </w:rPr>
              <w:t>STECF</w:t>
            </w:r>
            <w:r w:rsidRPr="00AE382D">
              <w:rPr>
                <w:lang w:val="es-ES"/>
              </w:rPr>
              <w:t xml:space="preserve"> concluyó que los Estados miembros proporcionaron datos limitados y la evidencia de que la captura de capturas no deseadas tiene un costo asociado no es suficiente para demostrar que esos costos son desproporcionados. El </w:t>
            </w:r>
            <w:r>
              <w:rPr>
                <w:lang w:val="es-ES"/>
              </w:rPr>
              <w:t xml:space="preserve">STECF </w:t>
            </w:r>
            <w:r w:rsidRPr="00AE382D">
              <w:rPr>
                <w:lang w:val="es-ES"/>
              </w:rPr>
              <w:t>señala que mejorar la selectividad en las pesquerías relevantes debería ser la prioridad, ya que reduciría los costos de manejo de capturas no deseadas.</w:t>
            </w:r>
          </w:p>
        </w:tc>
        <w:tc>
          <w:tcPr>
            <w:tcW w:w="5386" w:type="dxa"/>
          </w:tcPr>
          <w:p w14:paraId="5064AFBD" w14:textId="460D9F24" w:rsidR="00782C38" w:rsidRPr="00AE382D" w:rsidRDefault="00DD3DC3" w:rsidP="001809C0">
            <w:pPr>
              <w:rPr>
                <w:lang w:val="es-ES"/>
              </w:rPr>
            </w:pPr>
            <w:r w:rsidRPr="00AE382D">
              <w:rPr>
                <w:lang w:val="es-ES"/>
              </w:rPr>
              <w:lastRenderedPageBreak/>
              <w:t>Priorizar las mejoras en la selectividad propuestas en las pesquerías donde las capturas no deseadas de gallo por debajo de MCRS son más altas. Actualizar la información sobre los costos desproporcionados.</w:t>
            </w:r>
          </w:p>
        </w:tc>
      </w:tr>
      <w:tr w:rsidR="00E75F6B" w:rsidRPr="00AE382D" w14:paraId="6CBD0AA1" w14:textId="77777777" w:rsidTr="00DA1D90">
        <w:tc>
          <w:tcPr>
            <w:tcW w:w="1555" w:type="dxa"/>
          </w:tcPr>
          <w:p w14:paraId="11B17B7E" w14:textId="52B71163" w:rsidR="00E75F6B" w:rsidRPr="00AE382D" w:rsidRDefault="00FB25A4" w:rsidP="001809C0">
            <w:pPr>
              <w:rPr>
                <w:rFonts w:ascii="Calibri" w:hAnsi="Calibri" w:cs="Calibri"/>
                <w:b/>
                <w:bCs/>
                <w:color w:val="000000"/>
                <w:lang w:val="es-ES"/>
              </w:rPr>
            </w:pPr>
            <w:r w:rsidRPr="00AE382D">
              <w:rPr>
                <w:b/>
                <w:bCs/>
                <w:lang w:val="es-ES"/>
              </w:rPr>
              <w:t xml:space="preserve">Pión de altura </w:t>
            </w:r>
            <w:r w:rsidR="00E75F6B" w:rsidRPr="00AE382D">
              <w:rPr>
                <w:rFonts w:ascii="Calibri" w:hAnsi="Calibri" w:cs="Calibri"/>
                <w:b/>
                <w:bCs/>
                <w:color w:val="000000"/>
                <w:lang w:val="es-ES"/>
              </w:rPr>
              <w:t xml:space="preserve">5b </w:t>
            </w:r>
            <w:r w:rsidRPr="00AE382D">
              <w:rPr>
                <w:rFonts w:ascii="Calibri" w:hAnsi="Calibri" w:cs="Calibri"/>
                <w:b/>
                <w:bCs/>
                <w:color w:val="000000"/>
                <w:lang w:val="es-ES"/>
              </w:rPr>
              <w:t>y</w:t>
            </w:r>
            <w:r w:rsidR="00E75F6B" w:rsidRPr="00AE382D">
              <w:rPr>
                <w:rFonts w:ascii="Calibri" w:hAnsi="Calibri" w:cs="Calibri"/>
                <w:b/>
                <w:bCs/>
                <w:color w:val="000000"/>
                <w:lang w:val="es-ES"/>
              </w:rPr>
              <w:t xml:space="preserve"> 6</w:t>
            </w:r>
            <w:r w:rsidR="0052790A" w:rsidRPr="00AE382D">
              <w:rPr>
                <w:rFonts w:ascii="Calibri" w:hAnsi="Calibri" w:cs="Calibri"/>
                <w:b/>
                <w:bCs/>
                <w:color w:val="000000"/>
                <w:lang w:val="es-ES"/>
              </w:rPr>
              <w:t>*</w:t>
            </w:r>
          </w:p>
        </w:tc>
        <w:tc>
          <w:tcPr>
            <w:tcW w:w="6095" w:type="dxa"/>
          </w:tcPr>
          <w:p w14:paraId="33F223B1" w14:textId="4ED86C09" w:rsidR="00E75F6B" w:rsidRPr="00AE382D" w:rsidRDefault="00FB25A4" w:rsidP="001809C0">
            <w:pPr>
              <w:rPr>
                <w:lang w:val="es-ES"/>
              </w:rPr>
            </w:pPr>
            <w:r w:rsidRPr="00AE382D">
              <w:rPr>
                <w:lang w:val="es-ES"/>
              </w:rPr>
              <w:t>hasta el 0,6 % en 2020 del total anual de capturas de esta especie efectuadas por buques que utilizan redes de arrastre de fondo con un tamaño de malla igual o superior a 100 mm</w:t>
            </w:r>
            <w:r w:rsidR="003C7DB9" w:rsidRPr="00AE382D">
              <w:rPr>
                <w:lang w:val="es-ES"/>
              </w:rPr>
              <w:t>.</w:t>
            </w:r>
          </w:p>
          <w:p w14:paraId="774497E6" w14:textId="77777777" w:rsidR="003C7DB9" w:rsidRPr="00AE382D" w:rsidRDefault="003C7DB9" w:rsidP="001809C0">
            <w:pPr>
              <w:rPr>
                <w:lang w:val="es-ES"/>
              </w:rPr>
            </w:pPr>
          </w:p>
          <w:p w14:paraId="60DB5508" w14:textId="668AD1C4" w:rsidR="003C7DB9" w:rsidRPr="00AE382D" w:rsidRDefault="00AE382D" w:rsidP="001809C0">
            <w:pPr>
              <w:rPr>
                <w:lang w:val="es-ES"/>
              </w:rPr>
            </w:pPr>
            <w:r w:rsidRPr="00AE382D">
              <w:rPr>
                <w:lang w:val="es-ES"/>
              </w:rPr>
              <w:t xml:space="preserve">Los Estados miembros proporcionaron datos limitados y la evidencia de que la captura de capturas no deseadas tiene un costo asociado no es suficiente para demostrar que esos costos son desproporcionados. El </w:t>
            </w:r>
            <w:r>
              <w:rPr>
                <w:lang w:val="es-ES"/>
              </w:rPr>
              <w:t>STECF</w:t>
            </w:r>
            <w:r w:rsidRPr="00AE382D">
              <w:rPr>
                <w:lang w:val="es-ES"/>
              </w:rPr>
              <w:t xml:space="preserve"> señala que mejorar la selectividad en las pesquerías relevantes debería ser la prioridad, ya que reduciría los costos de manejo de capturas no deseadas.</w:t>
            </w:r>
          </w:p>
        </w:tc>
        <w:tc>
          <w:tcPr>
            <w:tcW w:w="5386" w:type="dxa"/>
          </w:tcPr>
          <w:p w14:paraId="5959FFF4" w14:textId="77777777" w:rsidR="00E75F6B" w:rsidRPr="00AE382D" w:rsidRDefault="00E75F6B" w:rsidP="001809C0">
            <w:pPr>
              <w:rPr>
                <w:lang w:val="es-ES"/>
              </w:rPr>
            </w:pPr>
          </w:p>
        </w:tc>
      </w:tr>
      <w:tr w:rsidR="00DA1D90" w:rsidRPr="00AE382D" w14:paraId="5F25785B" w14:textId="77777777" w:rsidTr="00DA1D90">
        <w:tc>
          <w:tcPr>
            <w:tcW w:w="1555" w:type="dxa"/>
          </w:tcPr>
          <w:p w14:paraId="2FCC80F8" w14:textId="06EA4175" w:rsidR="00DA1D90" w:rsidRPr="00AE382D" w:rsidRDefault="00FB25A4" w:rsidP="001809C0">
            <w:pPr>
              <w:rPr>
                <w:rFonts w:ascii="Calibri" w:hAnsi="Calibri" w:cs="Calibri"/>
                <w:b/>
                <w:bCs/>
                <w:color w:val="000000"/>
                <w:lang w:val="es-ES"/>
              </w:rPr>
            </w:pPr>
            <w:r w:rsidRPr="00AE382D">
              <w:rPr>
                <w:rFonts w:ascii="Calibri" w:hAnsi="Calibri" w:cs="Calibri"/>
                <w:b/>
                <w:bCs/>
                <w:color w:val="000000"/>
                <w:lang w:val="es-ES"/>
              </w:rPr>
              <w:t>Ochavo</w:t>
            </w:r>
            <w:r w:rsidR="00DA1D90" w:rsidRPr="00AE382D">
              <w:rPr>
                <w:rFonts w:ascii="Calibri" w:hAnsi="Calibri" w:cs="Calibri"/>
                <w:b/>
                <w:bCs/>
                <w:color w:val="000000"/>
                <w:lang w:val="es-ES"/>
              </w:rPr>
              <w:t xml:space="preserve"> </w:t>
            </w:r>
            <w:r w:rsidR="00DA1D90" w:rsidRPr="00AE382D">
              <w:rPr>
                <w:b/>
                <w:bCs/>
                <w:lang w:val="es-ES"/>
              </w:rPr>
              <w:t xml:space="preserve">7b,7c </w:t>
            </w:r>
            <w:r w:rsidRPr="00AE382D">
              <w:rPr>
                <w:b/>
                <w:bCs/>
                <w:lang w:val="es-ES"/>
              </w:rPr>
              <w:t>y</w:t>
            </w:r>
            <w:r w:rsidR="00DA1D90" w:rsidRPr="00AE382D">
              <w:rPr>
                <w:b/>
                <w:bCs/>
                <w:lang w:val="es-ES"/>
              </w:rPr>
              <w:t xml:space="preserve"> 7f-k</w:t>
            </w:r>
          </w:p>
        </w:tc>
        <w:tc>
          <w:tcPr>
            <w:tcW w:w="6095" w:type="dxa"/>
          </w:tcPr>
          <w:p w14:paraId="537C6A02" w14:textId="64F24BA0" w:rsidR="00DA1D90" w:rsidRPr="00AE382D" w:rsidRDefault="00FB25A4" w:rsidP="001809C0">
            <w:pPr>
              <w:rPr>
                <w:lang w:val="es-ES"/>
              </w:rPr>
            </w:pPr>
            <w:r w:rsidRPr="00AE382D">
              <w:rPr>
                <w:lang w:val="es-ES"/>
              </w:rPr>
              <w:t>hasta un máximo del 0,5 % en 2020 del total anual de capturas de esta especie efectuada por parte de buques que utilizan redes de arrastre de fondo</w:t>
            </w:r>
            <w:r w:rsidR="00DA1D90" w:rsidRPr="00AE382D">
              <w:rPr>
                <w:lang w:val="es-ES"/>
              </w:rPr>
              <w:t>.</w:t>
            </w:r>
          </w:p>
        </w:tc>
        <w:tc>
          <w:tcPr>
            <w:tcW w:w="5386" w:type="dxa"/>
          </w:tcPr>
          <w:p w14:paraId="66FBA63E" w14:textId="77777777" w:rsidR="00DA1D90" w:rsidRPr="00AE382D" w:rsidRDefault="00DA1D90" w:rsidP="001809C0">
            <w:pPr>
              <w:rPr>
                <w:lang w:val="es-ES"/>
              </w:rPr>
            </w:pPr>
          </w:p>
        </w:tc>
      </w:tr>
      <w:tr w:rsidR="00DA1D90" w:rsidRPr="00AE382D" w14:paraId="4144AF7D" w14:textId="77777777" w:rsidTr="00DA1D90">
        <w:tc>
          <w:tcPr>
            <w:tcW w:w="1555" w:type="dxa"/>
          </w:tcPr>
          <w:p w14:paraId="68EB2BA7" w14:textId="4D3A7399" w:rsidR="00DA1D90" w:rsidRPr="00AE382D" w:rsidRDefault="00FB25A4" w:rsidP="001809C0">
            <w:pPr>
              <w:rPr>
                <w:rFonts w:ascii="Calibri" w:hAnsi="Calibri" w:cs="Calibri"/>
                <w:b/>
                <w:bCs/>
                <w:color w:val="000000"/>
                <w:lang w:val="es-ES"/>
              </w:rPr>
            </w:pPr>
            <w:r w:rsidRPr="00AE382D">
              <w:rPr>
                <w:rFonts w:ascii="Calibri" w:hAnsi="Calibri" w:cs="Calibri"/>
                <w:b/>
                <w:bCs/>
                <w:color w:val="000000"/>
                <w:lang w:val="es-ES"/>
              </w:rPr>
              <w:t xml:space="preserve">Pesquería demersal mixta </w:t>
            </w:r>
            <w:r w:rsidR="00DA1D90" w:rsidRPr="00AE382D">
              <w:rPr>
                <w:rFonts w:ascii="Calibri" w:hAnsi="Calibri" w:cs="Calibri"/>
                <w:b/>
                <w:bCs/>
                <w:color w:val="000000"/>
                <w:lang w:val="es-ES"/>
              </w:rPr>
              <w:t xml:space="preserve">7a </w:t>
            </w:r>
          </w:p>
        </w:tc>
        <w:tc>
          <w:tcPr>
            <w:tcW w:w="6095" w:type="dxa"/>
          </w:tcPr>
          <w:p w14:paraId="612B2DB9" w14:textId="4095CAB2" w:rsidR="00DA1D90" w:rsidRPr="00AE382D" w:rsidRDefault="00FB25A4" w:rsidP="00DA1D90">
            <w:pPr>
              <w:rPr>
                <w:lang w:val="es-ES"/>
              </w:rPr>
            </w:pPr>
            <w:r w:rsidRPr="00AE382D">
              <w:rPr>
                <w:lang w:val="es-ES"/>
              </w:rPr>
              <w:t>en la pesquería demersal mixta efectuada por buques dedicados a la pesca de camarón meridional y que utilizan redes de arrastre de vara con un tamaño de malla igual o superior a 31 mm</w:t>
            </w:r>
            <w:r w:rsidR="00DA1D90" w:rsidRPr="00AE382D">
              <w:rPr>
                <w:lang w:val="es-ES"/>
              </w:rPr>
              <w:t>:</w:t>
            </w:r>
          </w:p>
          <w:p w14:paraId="4D8DE92D" w14:textId="77777777" w:rsidR="00FB25A4" w:rsidRPr="00AE382D" w:rsidRDefault="00FB25A4" w:rsidP="00DA1D90">
            <w:pPr>
              <w:rPr>
                <w:lang w:val="es-ES"/>
              </w:rPr>
            </w:pPr>
          </w:p>
          <w:p w14:paraId="20F69B3C" w14:textId="3F93E9CF" w:rsidR="00DA1D90" w:rsidRPr="00AE382D" w:rsidRDefault="00FB25A4" w:rsidP="00DA1D90">
            <w:pPr>
              <w:rPr>
                <w:lang w:val="es-ES"/>
              </w:rPr>
            </w:pPr>
            <w:r w:rsidRPr="00AE382D">
              <w:rPr>
                <w:lang w:val="es-ES"/>
              </w:rPr>
              <w:t>una cantidad combinada de especies de peces por debajo de la TMRC que no supere el 0,85 % del total anual de capturas de solla y el 0,15 % del total anual de capturas de merlán en las pesquerías demersales mixtas</w:t>
            </w:r>
            <w:r w:rsidR="00DA1D90" w:rsidRPr="00AE382D">
              <w:rPr>
                <w:lang w:val="es-ES"/>
              </w:rPr>
              <w:t>.</w:t>
            </w:r>
          </w:p>
        </w:tc>
        <w:tc>
          <w:tcPr>
            <w:tcW w:w="5386" w:type="dxa"/>
          </w:tcPr>
          <w:p w14:paraId="3E23C0F0" w14:textId="7BA1C687" w:rsidR="00DD3DC3" w:rsidRPr="00AE382D" w:rsidRDefault="00DD3DC3" w:rsidP="009E56D3">
            <w:pPr>
              <w:rPr>
                <w:lang w:val="es-ES"/>
              </w:rPr>
            </w:pPr>
            <w:r w:rsidRPr="00AE382D">
              <w:rPr>
                <w:lang w:val="es-ES"/>
              </w:rPr>
              <w:t>La mejora de la selectividad para el merlan en las pesquerías en las que las capturas no deseadas son más altas debería seguir siendo una prioridad.</w:t>
            </w:r>
          </w:p>
          <w:p w14:paraId="2FAE000D" w14:textId="7CAD95AB" w:rsidR="00DA1D90" w:rsidRPr="00AE382D" w:rsidRDefault="00DD3DC3" w:rsidP="00E9119A">
            <w:pPr>
              <w:rPr>
                <w:lang w:val="es-ES"/>
              </w:rPr>
            </w:pPr>
            <w:r w:rsidRPr="00AE382D">
              <w:rPr>
                <w:lang w:val="es-ES"/>
              </w:rPr>
              <w:t>La eficacia de las medidas de selectividad introducidas en 2019 debe supervisarse durante 2020.</w:t>
            </w:r>
          </w:p>
        </w:tc>
      </w:tr>
    </w:tbl>
    <w:p w14:paraId="5B04A02A" w14:textId="2480FC87" w:rsidR="0011647C" w:rsidRPr="00AE382D" w:rsidRDefault="0011647C" w:rsidP="00DD3DC3">
      <w:pPr>
        <w:rPr>
          <w:lang w:val="es-ES"/>
        </w:rPr>
      </w:pPr>
    </w:p>
    <w:sectPr w:rsidR="0011647C" w:rsidRPr="00AE382D" w:rsidSect="00DA1D9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47FEC"/>
    <w:multiLevelType w:val="hybridMultilevel"/>
    <w:tmpl w:val="A800A992"/>
    <w:lvl w:ilvl="0" w:tplc="2C5E80F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4B44822"/>
    <w:multiLevelType w:val="multilevel"/>
    <w:tmpl w:val="F4B097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57000C9"/>
    <w:multiLevelType w:val="multilevel"/>
    <w:tmpl w:val="1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3F03CB5"/>
    <w:multiLevelType w:val="hybridMultilevel"/>
    <w:tmpl w:val="A2C4B018"/>
    <w:lvl w:ilvl="0" w:tplc="BB14760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8C078BC"/>
    <w:multiLevelType w:val="multilevel"/>
    <w:tmpl w:val="5C8E488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94D1919"/>
    <w:multiLevelType w:val="multilevel"/>
    <w:tmpl w:val="0E4CC2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65F0804"/>
    <w:multiLevelType w:val="hybridMultilevel"/>
    <w:tmpl w:val="C6F2C938"/>
    <w:lvl w:ilvl="0" w:tplc="8B5236A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6C9F6380"/>
    <w:multiLevelType w:val="hybridMultilevel"/>
    <w:tmpl w:val="B9A8E09E"/>
    <w:lvl w:ilvl="0" w:tplc="C65C31C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7"/>
  </w:num>
  <w:num w:numId="5">
    <w:abstractNumId w:val="6"/>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9C0"/>
    <w:rsid w:val="0011647C"/>
    <w:rsid w:val="001809C0"/>
    <w:rsid w:val="0035553B"/>
    <w:rsid w:val="003C7DB9"/>
    <w:rsid w:val="004542B7"/>
    <w:rsid w:val="004907E4"/>
    <w:rsid w:val="0052790A"/>
    <w:rsid w:val="006D6B27"/>
    <w:rsid w:val="00776CF9"/>
    <w:rsid w:val="00782C38"/>
    <w:rsid w:val="007951E5"/>
    <w:rsid w:val="00840FD8"/>
    <w:rsid w:val="009F701A"/>
    <w:rsid w:val="00AE382D"/>
    <w:rsid w:val="00AF7FFA"/>
    <w:rsid w:val="00C97D30"/>
    <w:rsid w:val="00D052FC"/>
    <w:rsid w:val="00D6657D"/>
    <w:rsid w:val="00DA1D90"/>
    <w:rsid w:val="00DD3DC3"/>
    <w:rsid w:val="00E05ECF"/>
    <w:rsid w:val="00E75F6B"/>
    <w:rsid w:val="00E9119A"/>
    <w:rsid w:val="00ED2B38"/>
    <w:rsid w:val="00FA221E"/>
    <w:rsid w:val="00FB25A4"/>
    <w:rsid w:val="00FD488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7CAB2"/>
  <w15:chartTrackingRefBased/>
  <w15:docId w15:val="{824D5F69-E46E-467A-8946-95454F3C3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0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2C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C38"/>
    <w:rPr>
      <w:rFonts w:ascii="Segoe UI" w:hAnsi="Segoe UI" w:cs="Segoe UI"/>
      <w:sz w:val="18"/>
      <w:szCs w:val="18"/>
    </w:rPr>
  </w:style>
  <w:style w:type="paragraph" w:styleId="ListParagraph">
    <w:name w:val="List Paragraph"/>
    <w:basedOn w:val="Normal"/>
    <w:uiPriority w:val="34"/>
    <w:qFormat/>
    <w:rsid w:val="0052790A"/>
    <w:pPr>
      <w:ind w:left="720"/>
      <w:contextualSpacing/>
    </w:pPr>
  </w:style>
  <w:style w:type="paragraph" w:customStyle="1" w:styleId="ti-art">
    <w:name w:val="ti-art"/>
    <w:basedOn w:val="Normal"/>
    <w:rsid w:val="0011647C"/>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sti-art">
    <w:name w:val="sti-art"/>
    <w:basedOn w:val="Normal"/>
    <w:rsid w:val="0011647C"/>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Normal1">
    <w:name w:val="Normal1"/>
    <w:basedOn w:val="Normal"/>
    <w:rsid w:val="0011647C"/>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4542B7"/>
    <w:rPr>
      <w:color w:val="0000FF"/>
      <w:u w:val="single"/>
    </w:rPr>
  </w:style>
  <w:style w:type="character" w:customStyle="1" w:styleId="super">
    <w:name w:val="super"/>
    <w:basedOn w:val="DefaultParagraphFont"/>
    <w:rsid w:val="00454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806075">
      <w:bodyDiv w:val="1"/>
      <w:marLeft w:val="0"/>
      <w:marRight w:val="0"/>
      <w:marTop w:val="0"/>
      <w:marBottom w:val="0"/>
      <w:divBdr>
        <w:top w:val="none" w:sz="0" w:space="0" w:color="auto"/>
        <w:left w:val="none" w:sz="0" w:space="0" w:color="auto"/>
        <w:bottom w:val="none" w:sz="0" w:space="0" w:color="auto"/>
        <w:right w:val="none" w:sz="0" w:space="0" w:color="auto"/>
      </w:divBdr>
    </w:div>
    <w:div w:id="479074259">
      <w:bodyDiv w:val="1"/>
      <w:marLeft w:val="0"/>
      <w:marRight w:val="0"/>
      <w:marTop w:val="0"/>
      <w:marBottom w:val="0"/>
      <w:divBdr>
        <w:top w:val="none" w:sz="0" w:space="0" w:color="auto"/>
        <w:left w:val="none" w:sz="0" w:space="0" w:color="auto"/>
        <w:bottom w:val="none" w:sz="0" w:space="0" w:color="auto"/>
        <w:right w:val="none" w:sz="0" w:space="0" w:color="auto"/>
      </w:divBdr>
      <w:divsChild>
        <w:div w:id="1010183210">
          <w:marLeft w:val="0"/>
          <w:marRight w:val="0"/>
          <w:marTop w:val="0"/>
          <w:marBottom w:val="0"/>
          <w:divBdr>
            <w:top w:val="none" w:sz="0" w:space="0" w:color="auto"/>
            <w:left w:val="none" w:sz="0" w:space="0" w:color="auto"/>
            <w:bottom w:val="none" w:sz="0" w:space="0" w:color="auto"/>
            <w:right w:val="none" w:sz="0" w:space="0" w:color="auto"/>
          </w:divBdr>
        </w:div>
        <w:div w:id="1133911286">
          <w:marLeft w:val="0"/>
          <w:marRight w:val="0"/>
          <w:marTop w:val="0"/>
          <w:marBottom w:val="0"/>
          <w:divBdr>
            <w:top w:val="none" w:sz="0" w:space="0" w:color="auto"/>
            <w:left w:val="none" w:sz="0" w:space="0" w:color="auto"/>
            <w:bottom w:val="none" w:sz="0" w:space="0" w:color="auto"/>
            <w:right w:val="none" w:sz="0" w:space="0" w:color="auto"/>
          </w:divBdr>
        </w:div>
        <w:div w:id="2048144751">
          <w:marLeft w:val="0"/>
          <w:marRight w:val="0"/>
          <w:marTop w:val="0"/>
          <w:marBottom w:val="0"/>
          <w:divBdr>
            <w:top w:val="none" w:sz="0" w:space="0" w:color="auto"/>
            <w:left w:val="none" w:sz="0" w:space="0" w:color="auto"/>
            <w:bottom w:val="none" w:sz="0" w:space="0" w:color="auto"/>
            <w:right w:val="none" w:sz="0" w:space="0" w:color="auto"/>
          </w:divBdr>
        </w:div>
        <w:div w:id="210729444">
          <w:marLeft w:val="0"/>
          <w:marRight w:val="0"/>
          <w:marTop w:val="0"/>
          <w:marBottom w:val="0"/>
          <w:divBdr>
            <w:top w:val="none" w:sz="0" w:space="0" w:color="auto"/>
            <w:left w:val="none" w:sz="0" w:space="0" w:color="auto"/>
            <w:bottom w:val="none" w:sz="0" w:space="0" w:color="auto"/>
            <w:right w:val="none" w:sz="0" w:space="0" w:color="auto"/>
          </w:divBdr>
        </w:div>
        <w:div w:id="1524441608">
          <w:marLeft w:val="0"/>
          <w:marRight w:val="0"/>
          <w:marTop w:val="0"/>
          <w:marBottom w:val="0"/>
          <w:divBdr>
            <w:top w:val="none" w:sz="0" w:space="0" w:color="auto"/>
            <w:left w:val="none" w:sz="0" w:space="0" w:color="auto"/>
            <w:bottom w:val="none" w:sz="0" w:space="0" w:color="auto"/>
            <w:right w:val="none" w:sz="0" w:space="0" w:color="auto"/>
          </w:divBdr>
        </w:div>
      </w:divsChild>
    </w:div>
    <w:div w:id="513807137">
      <w:bodyDiv w:val="1"/>
      <w:marLeft w:val="0"/>
      <w:marRight w:val="0"/>
      <w:marTop w:val="0"/>
      <w:marBottom w:val="0"/>
      <w:divBdr>
        <w:top w:val="none" w:sz="0" w:space="0" w:color="auto"/>
        <w:left w:val="none" w:sz="0" w:space="0" w:color="auto"/>
        <w:bottom w:val="none" w:sz="0" w:space="0" w:color="auto"/>
        <w:right w:val="none" w:sz="0" w:space="0" w:color="auto"/>
      </w:divBdr>
      <w:divsChild>
        <w:div w:id="1831096150">
          <w:marLeft w:val="0"/>
          <w:marRight w:val="0"/>
          <w:marTop w:val="0"/>
          <w:marBottom w:val="0"/>
          <w:divBdr>
            <w:top w:val="none" w:sz="0" w:space="0" w:color="auto"/>
            <w:left w:val="none" w:sz="0" w:space="0" w:color="auto"/>
            <w:bottom w:val="none" w:sz="0" w:space="0" w:color="auto"/>
            <w:right w:val="none" w:sz="0" w:space="0" w:color="auto"/>
          </w:divBdr>
        </w:div>
        <w:div w:id="408843903">
          <w:marLeft w:val="0"/>
          <w:marRight w:val="0"/>
          <w:marTop w:val="0"/>
          <w:marBottom w:val="0"/>
          <w:divBdr>
            <w:top w:val="none" w:sz="0" w:space="0" w:color="auto"/>
            <w:left w:val="none" w:sz="0" w:space="0" w:color="auto"/>
            <w:bottom w:val="none" w:sz="0" w:space="0" w:color="auto"/>
            <w:right w:val="none" w:sz="0" w:space="0" w:color="auto"/>
          </w:divBdr>
        </w:div>
        <w:div w:id="638534054">
          <w:marLeft w:val="0"/>
          <w:marRight w:val="0"/>
          <w:marTop w:val="0"/>
          <w:marBottom w:val="0"/>
          <w:divBdr>
            <w:top w:val="none" w:sz="0" w:space="0" w:color="auto"/>
            <w:left w:val="none" w:sz="0" w:space="0" w:color="auto"/>
            <w:bottom w:val="none" w:sz="0" w:space="0" w:color="auto"/>
            <w:right w:val="none" w:sz="0" w:space="0" w:color="auto"/>
          </w:divBdr>
        </w:div>
        <w:div w:id="382172570">
          <w:marLeft w:val="0"/>
          <w:marRight w:val="0"/>
          <w:marTop w:val="0"/>
          <w:marBottom w:val="0"/>
          <w:divBdr>
            <w:top w:val="none" w:sz="0" w:space="0" w:color="auto"/>
            <w:left w:val="none" w:sz="0" w:space="0" w:color="auto"/>
            <w:bottom w:val="none" w:sz="0" w:space="0" w:color="auto"/>
            <w:right w:val="none" w:sz="0" w:space="0" w:color="auto"/>
          </w:divBdr>
        </w:div>
        <w:div w:id="704064059">
          <w:marLeft w:val="0"/>
          <w:marRight w:val="0"/>
          <w:marTop w:val="0"/>
          <w:marBottom w:val="0"/>
          <w:divBdr>
            <w:top w:val="none" w:sz="0" w:space="0" w:color="auto"/>
            <w:left w:val="none" w:sz="0" w:space="0" w:color="auto"/>
            <w:bottom w:val="none" w:sz="0" w:space="0" w:color="auto"/>
            <w:right w:val="none" w:sz="0" w:space="0" w:color="auto"/>
          </w:divBdr>
        </w:div>
      </w:divsChild>
    </w:div>
    <w:div w:id="662247451">
      <w:bodyDiv w:val="1"/>
      <w:marLeft w:val="0"/>
      <w:marRight w:val="0"/>
      <w:marTop w:val="0"/>
      <w:marBottom w:val="0"/>
      <w:divBdr>
        <w:top w:val="none" w:sz="0" w:space="0" w:color="auto"/>
        <w:left w:val="none" w:sz="0" w:space="0" w:color="auto"/>
        <w:bottom w:val="none" w:sz="0" w:space="0" w:color="auto"/>
        <w:right w:val="none" w:sz="0" w:space="0" w:color="auto"/>
      </w:divBdr>
    </w:div>
    <w:div w:id="811218990">
      <w:bodyDiv w:val="1"/>
      <w:marLeft w:val="0"/>
      <w:marRight w:val="0"/>
      <w:marTop w:val="0"/>
      <w:marBottom w:val="0"/>
      <w:divBdr>
        <w:top w:val="none" w:sz="0" w:space="0" w:color="auto"/>
        <w:left w:val="none" w:sz="0" w:space="0" w:color="auto"/>
        <w:bottom w:val="none" w:sz="0" w:space="0" w:color="auto"/>
        <w:right w:val="none" w:sz="0" w:space="0" w:color="auto"/>
      </w:divBdr>
    </w:div>
    <w:div w:id="877858969">
      <w:bodyDiv w:val="1"/>
      <w:marLeft w:val="0"/>
      <w:marRight w:val="0"/>
      <w:marTop w:val="0"/>
      <w:marBottom w:val="0"/>
      <w:divBdr>
        <w:top w:val="none" w:sz="0" w:space="0" w:color="auto"/>
        <w:left w:val="none" w:sz="0" w:space="0" w:color="auto"/>
        <w:bottom w:val="none" w:sz="0" w:space="0" w:color="auto"/>
        <w:right w:val="none" w:sz="0" w:space="0" w:color="auto"/>
      </w:divBdr>
    </w:div>
    <w:div w:id="1036586882">
      <w:bodyDiv w:val="1"/>
      <w:marLeft w:val="0"/>
      <w:marRight w:val="0"/>
      <w:marTop w:val="0"/>
      <w:marBottom w:val="0"/>
      <w:divBdr>
        <w:top w:val="none" w:sz="0" w:space="0" w:color="auto"/>
        <w:left w:val="none" w:sz="0" w:space="0" w:color="auto"/>
        <w:bottom w:val="none" w:sz="0" w:space="0" w:color="auto"/>
        <w:right w:val="none" w:sz="0" w:space="0" w:color="auto"/>
      </w:divBdr>
    </w:div>
    <w:div w:id="1050106960">
      <w:bodyDiv w:val="1"/>
      <w:marLeft w:val="0"/>
      <w:marRight w:val="0"/>
      <w:marTop w:val="0"/>
      <w:marBottom w:val="0"/>
      <w:divBdr>
        <w:top w:val="none" w:sz="0" w:space="0" w:color="auto"/>
        <w:left w:val="none" w:sz="0" w:space="0" w:color="auto"/>
        <w:bottom w:val="none" w:sz="0" w:space="0" w:color="auto"/>
        <w:right w:val="none" w:sz="0" w:space="0" w:color="auto"/>
      </w:divBdr>
      <w:divsChild>
        <w:div w:id="2120031324">
          <w:marLeft w:val="0"/>
          <w:marRight w:val="0"/>
          <w:marTop w:val="0"/>
          <w:marBottom w:val="0"/>
          <w:divBdr>
            <w:top w:val="none" w:sz="0" w:space="0" w:color="auto"/>
            <w:left w:val="none" w:sz="0" w:space="0" w:color="auto"/>
            <w:bottom w:val="none" w:sz="0" w:space="0" w:color="auto"/>
            <w:right w:val="none" w:sz="0" w:space="0" w:color="auto"/>
          </w:divBdr>
        </w:div>
        <w:div w:id="2139444955">
          <w:marLeft w:val="0"/>
          <w:marRight w:val="0"/>
          <w:marTop w:val="0"/>
          <w:marBottom w:val="0"/>
          <w:divBdr>
            <w:top w:val="none" w:sz="0" w:space="0" w:color="auto"/>
            <w:left w:val="none" w:sz="0" w:space="0" w:color="auto"/>
            <w:bottom w:val="none" w:sz="0" w:space="0" w:color="auto"/>
            <w:right w:val="none" w:sz="0" w:space="0" w:color="auto"/>
          </w:divBdr>
        </w:div>
      </w:divsChild>
    </w:div>
    <w:div w:id="1114061229">
      <w:bodyDiv w:val="1"/>
      <w:marLeft w:val="0"/>
      <w:marRight w:val="0"/>
      <w:marTop w:val="0"/>
      <w:marBottom w:val="0"/>
      <w:divBdr>
        <w:top w:val="none" w:sz="0" w:space="0" w:color="auto"/>
        <w:left w:val="none" w:sz="0" w:space="0" w:color="auto"/>
        <w:bottom w:val="none" w:sz="0" w:space="0" w:color="auto"/>
        <w:right w:val="none" w:sz="0" w:space="0" w:color="auto"/>
      </w:divBdr>
    </w:div>
    <w:div w:id="1318652415">
      <w:bodyDiv w:val="1"/>
      <w:marLeft w:val="0"/>
      <w:marRight w:val="0"/>
      <w:marTop w:val="0"/>
      <w:marBottom w:val="0"/>
      <w:divBdr>
        <w:top w:val="none" w:sz="0" w:space="0" w:color="auto"/>
        <w:left w:val="none" w:sz="0" w:space="0" w:color="auto"/>
        <w:bottom w:val="none" w:sz="0" w:space="0" w:color="auto"/>
        <w:right w:val="none" w:sz="0" w:space="0" w:color="auto"/>
      </w:divBdr>
    </w:div>
    <w:div w:id="1439448101">
      <w:bodyDiv w:val="1"/>
      <w:marLeft w:val="0"/>
      <w:marRight w:val="0"/>
      <w:marTop w:val="0"/>
      <w:marBottom w:val="0"/>
      <w:divBdr>
        <w:top w:val="none" w:sz="0" w:space="0" w:color="auto"/>
        <w:left w:val="none" w:sz="0" w:space="0" w:color="auto"/>
        <w:bottom w:val="none" w:sz="0" w:space="0" w:color="auto"/>
        <w:right w:val="none" w:sz="0" w:space="0" w:color="auto"/>
      </w:divBdr>
      <w:divsChild>
        <w:div w:id="2107722873">
          <w:marLeft w:val="0"/>
          <w:marRight w:val="0"/>
          <w:marTop w:val="0"/>
          <w:marBottom w:val="0"/>
          <w:divBdr>
            <w:top w:val="none" w:sz="0" w:space="0" w:color="auto"/>
            <w:left w:val="none" w:sz="0" w:space="0" w:color="auto"/>
            <w:bottom w:val="none" w:sz="0" w:space="0" w:color="auto"/>
            <w:right w:val="none" w:sz="0" w:space="0" w:color="auto"/>
          </w:divBdr>
        </w:div>
        <w:div w:id="1480463398">
          <w:marLeft w:val="0"/>
          <w:marRight w:val="0"/>
          <w:marTop w:val="0"/>
          <w:marBottom w:val="0"/>
          <w:divBdr>
            <w:top w:val="none" w:sz="0" w:space="0" w:color="auto"/>
            <w:left w:val="none" w:sz="0" w:space="0" w:color="auto"/>
            <w:bottom w:val="none" w:sz="0" w:space="0" w:color="auto"/>
            <w:right w:val="none" w:sz="0" w:space="0" w:color="auto"/>
          </w:divBdr>
        </w:div>
        <w:div w:id="252250969">
          <w:marLeft w:val="0"/>
          <w:marRight w:val="0"/>
          <w:marTop w:val="0"/>
          <w:marBottom w:val="0"/>
          <w:divBdr>
            <w:top w:val="none" w:sz="0" w:space="0" w:color="auto"/>
            <w:left w:val="none" w:sz="0" w:space="0" w:color="auto"/>
            <w:bottom w:val="none" w:sz="0" w:space="0" w:color="auto"/>
            <w:right w:val="none" w:sz="0" w:space="0" w:color="auto"/>
          </w:divBdr>
        </w:div>
        <w:div w:id="1599561049">
          <w:marLeft w:val="0"/>
          <w:marRight w:val="0"/>
          <w:marTop w:val="0"/>
          <w:marBottom w:val="0"/>
          <w:divBdr>
            <w:top w:val="none" w:sz="0" w:space="0" w:color="auto"/>
            <w:left w:val="none" w:sz="0" w:space="0" w:color="auto"/>
            <w:bottom w:val="none" w:sz="0" w:space="0" w:color="auto"/>
            <w:right w:val="none" w:sz="0" w:space="0" w:color="auto"/>
          </w:divBdr>
        </w:div>
      </w:divsChild>
    </w:div>
    <w:div w:id="1542205772">
      <w:bodyDiv w:val="1"/>
      <w:marLeft w:val="0"/>
      <w:marRight w:val="0"/>
      <w:marTop w:val="0"/>
      <w:marBottom w:val="0"/>
      <w:divBdr>
        <w:top w:val="none" w:sz="0" w:space="0" w:color="auto"/>
        <w:left w:val="none" w:sz="0" w:space="0" w:color="auto"/>
        <w:bottom w:val="none" w:sz="0" w:space="0" w:color="auto"/>
        <w:right w:val="none" w:sz="0" w:space="0" w:color="auto"/>
      </w:divBdr>
    </w:div>
    <w:div w:id="1711682204">
      <w:bodyDiv w:val="1"/>
      <w:marLeft w:val="0"/>
      <w:marRight w:val="0"/>
      <w:marTop w:val="0"/>
      <w:marBottom w:val="0"/>
      <w:divBdr>
        <w:top w:val="none" w:sz="0" w:space="0" w:color="auto"/>
        <w:left w:val="none" w:sz="0" w:space="0" w:color="auto"/>
        <w:bottom w:val="none" w:sz="0" w:space="0" w:color="auto"/>
        <w:right w:val="none" w:sz="0" w:space="0" w:color="auto"/>
      </w:divBdr>
    </w:div>
    <w:div w:id="2087340809">
      <w:bodyDiv w:val="1"/>
      <w:marLeft w:val="0"/>
      <w:marRight w:val="0"/>
      <w:marTop w:val="0"/>
      <w:marBottom w:val="0"/>
      <w:divBdr>
        <w:top w:val="none" w:sz="0" w:space="0" w:color="auto"/>
        <w:left w:val="none" w:sz="0" w:space="0" w:color="auto"/>
        <w:bottom w:val="none" w:sz="0" w:space="0" w:color="auto"/>
        <w:right w:val="none" w:sz="0" w:space="0" w:color="auto"/>
      </w:divBdr>
    </w:div>
    <w:div w:id="211852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5</Pages>
  <Words>1673</Words>
  <Characters>9538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Vallerani, Matilde</dc:creator>
  <cp:keywords/>
  <dc:description/>
  <cp:lastModifiedBy>Vallerani, Matilde</cp:lastModifiedBy>
  <cp:revision>7</cp:revision>
  <dcterms:created xsi:type="dcterms:W3CDTF">2020-02-24T14:20:00Z</dcterms:created>
  <dcterms:modified xsi:type="dcterms:W3CDTF">2020-03-05T12:11:00Z</dcterms:modified>
</cp:coreProperties>
</file>