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F34A" w14:textId="372F6158" w:rsidR="00552A3F" w:rsidRPr="00015953" w:rsidRDefault="00552A3F" w:rsidP="00552A3F">
      <w:pPr>
        <w:jc w:val="center"/>
        <w:rPr>
          <w:b/>
          <w:bCs/>
          <w:sz w:val="28"/>
          <w:szCs w:val="28"/>
          <w:lang w:val="fr-FR"/>
        </w:rPr>
      </w:pPr>
      <w:r w:rsidRPr="00015953">
        <w:rPr>
          <w:b/>
          <w:bCs/>
          <w:sz w:val="28"/>
          <w:szCs w:val="28"/>
          <w:lang w:val="fr-FR"/>
        </w:rPr>
        <w:t>APERÇU DES EXEMPTIONS EXISTANTES</w:t>
      </w:r>
    </w:p>
    <w:p w14:paraId="65FA34C3" w14:textId="3E25BF05" w:rsidR="00552A3F" w:rsidRPr="00015953" w:rsidRDefault="00552A3F" w:rsidP="003C0FBA">
      <w:pPr>
        <w:rPr>
          <w:lang w:val="fr-FR"/>
        </w:rPr>
      </w:pPr>
      <w:r w:rsidRPr="00015953">
        <w:rPr>
          <w:lang w:val="fr-FR"/>
        </w:rPr>
        <w:t>Ceux qui ont un * sont temporaires et ont besoin d’informations à l’appui d’ici le 1er mai 2020</w:t>
      </w:r>
    </w:p>
    <w:p w14:paraId="48460C14" w14:textId="6082E870" w:rsidR="001809C0" w:rsidRPr="00015953" w:rsidRDefault="00552A3F" w:rsidP="00782C38">
      <w:pPr>
        <w:rPr>
          <w:b/>
          <w:bCs/>
          <w:lang w:val="fr-FR"/>
        </w:rPr>
      </w:pPr>
      <w:r w:rsidRPr="00015953">
        <w:rPr>
          <w:b/>
          <w:bCs/>
          <w:lang w:val="fr-FR"/>
        </w:rPr>
        <w:t>Exemption</w:t>
      </w:r>
      <w:r w:rsidRPr="00015953">
        <w:rPr>
          <w:b/>
          <w:bCs/>
          <w:lang w:val="fr-FR"/>
        </w:rPr>
        <w:t>s</w:t>
      </w:r>
      <w:r w:rsidRPr="00015953">
        <w:rPr>
          <w:b/>
          <w:bCs/>
          <w:lang w:val="fr-FR"/>
        </w:rPr>
        <w:t xml:space="preserve"> fondée</w:t>
      </w:r>
      <w:r w:rsidRPr="00015953">
        <w:rPr>
          <w:b/>
          <w:bCs/>
          <w:lang w:val="fr-FR"/>
        </w:rPr>
        <w:t>s</w:t>
      </w:r>
      <w:r w:rsidRPr="00015953">
        <w:rPr>
          <w:b/>
          <w:bCs/>
          <w:lang w:val="fr-FR"/>
        </w:rPr>
        <w:t xml:space="preserve"> sur la capacité de survie</w:t>
      </w:r>
    </w:p>
    <w:tbl>
      <w:tblPr>
        <w:tblStyle w:val="TableGrid"/>
        <w:tblW w:w="13036" w:type="dxa"/>
        <w:tblLook w:val="04A0" w:firstRow="1" w:lastRow="0" w:firstColumn="1" w:lastColumn="0" w:noHBand="0" w:noVBand="1"/>
      </w:tblPr>
      <w:tblGrid>
        <w:gridCol w:w="1508"/>
        <w:gridCol w:w="6181"/>
        <w:gridCol w:w="5347"/>
      </w:tblGrid>
      <w:tr w:rsidR="0035553B" w:rsidRPr="00015953" w14:paraId="795EFFE7" w14:textId="77777777" w:rsidTr="00DA1D90">
        <w:tc>
          <w:tcPr>
            <w:tcW w:w="1508" w:type="dxa"/>
          </w:tcPr>
          <w:p w14:paraId="00485CD6" w14:textId="34BBE7CC" w:rsidR="0035553B" w:rsidRPr="00015953" w:rsidRDefault="0035553B" w:rsidP="001809C0">
            <w:pPr>
              <w:rPr>
                <w:b/>
                <w:bCs/>
                <w:lang w:val="fr-FR"/>
              </w:rPr>
            </w:pPr>
            <w:r w:rsidRPr="00015953">
              <w:rPr>
                <w:b/>
                <w:bCs/>
                <w:lang w:val="fr-FR"/>
              </w:rPr>
              <w:t xml:space="preserve">Stock </w:t>
            </w:r>
          </w:p>
        </w:tc>
        <w:tc>
          <w:tcPr>
            <w:tcW w:w="6181" w:type="dxa"/>
          </w:tcPr>
          <w:p w14:paraId="731E2527" w14:textId="39D64ED3" w:rsidR="0035553B" w:rsidRPr="00015953" w:rsidRDefault="0035553B" w:rsidP="001809C0">
            <w:pPr>
              <w:rPr>
                <w:b/>
                <w:bCs/>
                <w:lang w:val="fr-FR"/>
              </w:rPr>
            </w:pPr>
            <w:proofErr w:type="spellStart"/>
            <w:r w:rsidRPr="00015953">
              <w:rPr>
                <w:b/>
                <w:bCs/>
                <w:lang w:val="fr-FR"/>
              </w:rPr>
              <w:t>Discard</w:t>
            </w:r>
            <w:proofErr w:type="spellEnd"/>
            <w:r w:rsidRPr="00015953">
              <w:rPr>
                <w:b/>
                <w:bCs/>
                <w:lang w:val="fr-FR"/>
              </w:rPr>
              <w:t xml:space="preserve"> Plan 2019</w:t>
            </w:r>
          </w:p>
        </w:tc>
        <w:tc>
          <w:tcPr>
            <w:tcW w:w="5347" w:type="dxa"/>
          </w:tcPr>
          <w:p w14:paraId="668437D6" w14:textId="289C4E38" w:rsidR="0035553B" w:rsidRPr="00015953" w:rsidRDefault="00552A3F" w:rsidP="001809C0">
            <w:pPr>
              <w:rPr>
                <w:b/>
                <w:bCs/>
                <w:lang w:val="fr-FR"/>
              </w:rPr>
            </w:pPr>
            <w:r w:rsidRPr="00015953">
              <w:rPr>
                <w:b/>
                <w:bCs/>
                <w:lang w:val="fr-FR"/>
              </w:rPr>
              <w:t>Conseil du CC EOS</w:t>
            </w:r>
            <w:r w:rsidR="00D6657D" w:rsidRPr="00015953">
              <w:rPr>
                <w:b/>
                <w:bCs/>
                <w:lang w:val="fr-FR"/>
              </w:rPr>
              <w:t xml:space="preserve"> (Choke ID 2019)</w:t>
            </w:r>
          </w:p>
        </w:tc>
      </w:tr>
      <w:tr w:rsidR="009F701A" w:rsidRPr="00015953" w14:paraId="363C2414" w14:textId="77777777" w:rsidTr="00DA1D90">
        <w:tc>
          <w:tcPr>
            <w:tcW w:w="1508" w:type="dxa"/>
          </w:tcPr>
          <w:p w14:paraId="72B76E0E" w14:textId="76FF831E" w:rsidR="009F701A" w:rsidRPr="00015953" w:rsidRDefault="009F701A" w:rsidP="001809C0">
            <w:pPr>
              <w:rPr>
                <w:b/>
                <w:bCs/>
                <w:lang w:val="fr-FR"/>
              </w:rPr>
            </w:pPr>
            <w:proofErr w:type="spellStart"/>
            <w:r w:rsidRPr="00015953">
              <w:rPr>
                <w:b/>
                <w:bCs/>
                <w:lang w:val="fr-FR"/>
              </w:rPr>
              <w:t>Nephrops</w:t>
            </w:r>
            <w:proofErr w:type="spellEnd"/>
            <w:r w:rsidRPr="00015953">
              <w:rPr>
                <w:b/>
                <w:bCs/>
                <w:lang w:val="fr-FR"/>
              </w:rPr>
              <w:t xml:space="preserve"> 6</w:t>
            </w:r>
            <w:r w:rsidR="00776CF9" w:rsidRPr="00015953">
              <w:rPr>
                <w:b/>
                <w:bCs/>
                <w:lang w:val="fr-FR"/>
              </w:rPr>
              <w:t>a</w:t>
            </w:r>
          </w:p>
        </w:tc>
        <w:tc>
          <w:tcPr>
            <w:tcW w:w="6181" w:type="dxa"/>
          </w:tcPr>
          <w:p w14:paraId="0206106B" w14:textId="06E35818" w:rsidR="009F701A" w:rsidRPr="00015953" w:rsidRDefault="00552A3F" w:rsidP="001809C0">
            <w:pPr>
              <w:rPr>
                <w:lang w:val="fr-FR"/>
              </w:rPr>
            </w:pPr>
            <w:r w:rsidRPr="00015953">
              <w:rPr>
                <w:lang w:val="fr-FR"/>
              </w:rPr>
              <w:t>capturée au moyen de chaluts à panneaux d’un maillage de 80 à</w:t>
            </w:r>
            <w:r w:rsidRPr="00015953">
              <w:rPr>
                <w:lang w:val="fr-FR"/>
              </w:rPr>
              <w:t xml:space="preserve"> </w:t>
            </w:r>
            <w:r w:rsidRPr="00015953">
              <w:rPr>
                <w:lang w:val="fr-FR"/>
              </w:rPr>
              <w:t>110 mm</w:t>
            </w:r>
            <w:r w:rsidRPr="00015953">
              <w:rPr>
                <w:lang w:val="fr-FR"/>
              </w:rPr>
              <w:t xml:space="preserve"> </w:t>
            </w:r>
            <w:r w:rsidRPr="00015953">
              <w:rPr>
                <w:lang w:val="fr-FR"/>
              </w:rPr>
              <w:t>à moins de douze milles marins des côtes</w:t>
            </w:r>
          </w:p>
        </w:tc>
        <w:tc>
          <w:tcPr>
            <w:tcW w:w="5347" w:type="dxa"/>
          </w:tcPr>
          <w:p w14:paraId="2F2715BA" w14:textId="77777777" w:rsidR="00552A3F" w:rsidRPr="00015953" w:rsidRDefault="00552A3F" w:rsidP="007112A2">
            <w:pPr>
              <w:rPr>
                <w:rFonts w:ascii="Calibri" w:hAnsi="Calibri" w:cs="Calibri"/>
                <w:color w:val="000000"/>
                <w:lang w:val="fr-FR"/>
              </w:rPr>
            </w:pPr>
            <w:r w:rsidRPr="00015953">
              <w:rPr>
                <w:color w:val="000000"/>
                <w:lang w:val="fr-FR"/>
              </w:rPr>
              <w:t>Études de survie supplémentaires pour couvrir les pêches à l’extérieur de 12 milles marins</w:t>
            </w:r>
          </w:p>
          <w:p w14:paraId="3DB079C4" w14:textId="77E92E06" w:rsidR="009F701A" w:rsidRPr="00015953" w:rsidRDefault="009F701A" w:rsidP="001809C0">
            <w:pPr>
              <w:rPr>
                <w:lang w:val="fr-FR"/>
              </w:rPr>
            </w:pPr>
          </w:p>
        </w:tc>
      </w:tr>
      <w:tr w:rsidR="00776CF9" w:rsidRPr="00015953" w14:paraId="5D6E5B13" w14:textId="77777777" w:rsidTr="00DA1D90">
        <w:tc>
          <w:tcPr>
            <w:tcW w:w="1508" w:type="dxa"/>
          </w:tcPr>
          <w:p w14:paraId="57667D1C" w14:textId="7B79552D" w:rsidR="00776CF9" w:rsidRPr="00015953" w:rsidRDefault="00776CF9" w:rsidP="00776CF9">
            <w:pPr>
              <w:rPr>
                <w:b/>
                <w:bCs/>
                <w:lang w:val="fr-FR"/>
              </w:rPr>
            </w:pPr>
            <w:proofErr w:type="spellStart"/>
            <w:r w:rsidRPr="00015953">
              <w:rPr>
                <w:b/>
                <w:bCs/>
                <w:lang w:val="fr-FR"/>
              </w:rPr>
              <w:t>Nephrops</w:t>
            </w:r>
            <w:proofErr w:type="spellEnd"/>
            <w:r w:rsidRPr="00015953">
              <w:rPr>
                <w:b/>
                <w:bCs/>
                <w:lang w:val="fr-FR"/>
              </w:rPr>
              <w:t xml:space="preserve"> 6 and 7</w:t>
            </w:r>
          </w:p>
        </w:tc>
        <w:tc>
          <w:tcPr>
            <w:tcW w:w="6181" w:type="dxa"/>
          </w:tcPr>
          <w:p w14:paraId="11DA77DC" w14:textId="1558C740" w:rsidR="00776CF9" w:rsidRPr="00015953" w:rsidRDefault="00552A3F" w:rsidP="00776CF9">
            <w:pPr>
              <w:rPr>
                <w:lang w:val="fr-FR"/>
              </w:rPr>
            </w:pPr>
            <w:r w:rsidRPr="00015953">
              <w:rPr>
                <w:lang w:val="fr-FR"/>
              </w:rPr>
              <w:t>capturée dans des casiers, pièges ou nasses</w:t>
            </w:r>
            <w:r w:rsidR="00776CF9" w:rsidRPr="00015953">
              <w:rPr>
                <w:lang w:val="fr-FR"/>
              </w:rPr>
              <w:t>.</w:t>
            </w:r>
          </w:p>
        </w:tc>
        <w:tc>
          <w:tcPr>
            <w:tcW w:w="5347" w:type="dxa"/>
          </w:tcPr>
          <w:p w14:paraId="053500DA" w14:textId="77777777" w:rsidR="00776CF9" w:rsidRPr="00015953" w:rsidRDefault="00776CF9" w:rsidP="00776CF9">
            <w:pPr>
              <w:rPr>
                <w:rFonts w:ascii="Calibri" w:hAnsi="Calibri" w:cs="Calibri"/>
                <w:color w:val="000000"/>
                <w:lang w:val="fr-FR"/>
              </w:rPr>
            </w:pPr>
          </w:p>
        </w:tc>
      </w:tr>
      <w:tr w:rsidR="00776CF9" w:rsidRPr="00015953" w14:paraId="1CA94190" w14:textId="77777777" w:rsidTr="00DA1D90">
        <w:tc>
          <w:tcPr>
            <w:tcW w:w="1508" w:type="dxa"/>
          </w:tcPr>
          <w:p w14:paraId="54B921C8" w14:textId="1BD70053" w:rsidR="00776CF9" w:rsidRPr="00015953" w:rsidRDefault="00776CF9" w:rsidP="00776CF9">
            <w:pPr>
              <w:rPr>
                <w:b/>
                <w:bCs/>
                <w:lang w:val="fr-FR"/>
              </w:rPr>
            </w:pPr>
            <w:proofErr w:type="spellStart"/>
            <w:r w:rsidRPr="00015953">
              <w:rPr>
                <w:b/>
                <w:bCs/>
                <w:lang w:val="fr-FR"/>
              </w:rPr>
              <w:t>Nephrops</w:t>
            </w:r>
            <w:proofErr w:type="spellEnd"/>
            <w:r w:rsidRPr="00015953">
              <w:rPr>
                <w:b/>
                <w:bCs/>
                <w:lang w:val="fr-FR"/>
              </w:rPr>
              <w:t xml:space="preserve"> 7</w:t>
            </w:r>
          </w:p>
        </w:tc>
        <w:tc>
          <w:tcPr>
            <w:tcW w:w="6181" w:type="dxa"/>
          </w:tcPr>
          <w:p w14:paraId="5D51D2F1" w14:textId="39E1FC20" w:rsidR="00776CF9" w:rsidRPr="00015953" w:rsidRDefault="00552A3F" w:rsidP="00776CF9">
            <w:pPr>
              <w:rPr>
                <w:lang w:val="fr-FR"/>
              </w:rPr>
            </w:pPr>
            <w:r w:rsidRPr="00015953">
              <w:rPr>
                <w:lang w:val="fr-FR"/>
              </w:rPr>
              <w:t>capturée au moyen de chaluts de fond d’un maillage égal ou supérieur à 100 mm</w:t>
            </w:r>
          </w:p>
        </w:tc>
        <w:tc>
          <w:tcPr>
            <w:tcW w:w="5347" w:type="dxa"/>
          </w:tcPr>
          <w:p w14:paraId="271646DD" w14:textId="77777777" w:rsidR="00776CF9" w:rsidRPr="00015953" w:rsidRDefault="00776CF9" w:rsidP="00776CF9">
            <w:pPr>
              <w:rPr>
                <w:rFonts w:ascii="Calibri" w:hAnsi="Calibri" w:cs="Calibri"/>
                <w:color w:val="000000"/>
                <w:lang w:val="fr-FR"/>
              </w:rPr>
            </w:pPr>
          </w:p>
        </w:tc>
      </w:tr>
      <w:tr w:rsidR="00776CF9" w:rsidRPr="00015953" w14:paraId="644A0B26" w14:textId="77777777" w:rsidTr="00DA1D90">
        <w:tc>
          <w:tcPr>
            <w:tcW w:w="1508" w:type="dxa"/>
          </w:tcPr>
          <w:p w14:paraId="70F79A25" w14:textId="38EC1DE2" w:rsidR="00776CF9" w:rsidRPr="00015953" w:rsidRDefault="00776CF9" w:rsidP="00776CF9">
            <w:pPr>
              <w:rPr>
                <w:b/>
                <w:bCs/>
                <w:lang w:val="fr-FR"/>
              </w:rPr>
            </w:pPr>
            <w:proofErr w:type="spellStart"/>
            <w:r w:rsidRPr="00015953">
              <w:rPr>
                <w:b/>
                <w:bCs/>
                <w:lang w:val="fr-FR"/>
              </w:rPr>
              <w:t>Nephrops</w:t>
            </w:r>
            <w:proofErr w:type="spellEnd"/>
            <w:r w:rsidRPr="00015953">
              <w:rPr>
                <w:b/>
                <w:bCs/>
                <w:lang w:val="fr-FR"/>
              </w:rPr>
              <w:t xml:space="preserve"> </w:t>
            </w:r>
            <w:r w:rsidR="00D052FC" w:rsidRPr="00015953">
              <w:rPr>
                <w:b/>
                <w:bCs/>
                <w:lang w:val="fr-FR"/>
              </w:rPr>
              <w:t>7</w:t>
            </w:r>
          </w:p>
        </w:tc>
        <w:tc>
          <w:tcPr>
            <w:tcW w:w="6181" w:type="dxa"/>
          </w:tcPr>
          <w:p w14:paraId="65E17CF8" w14:textId="3960065C" w:rsidR="00776CF9" w:rsidRPr="00015953" w:rsidRDefault="00552A3F" w:rsidP="00776CF9">
            <w:pPr>
              <w:rPr>
                <w:lang w:val="fr-FR"/>
              </w:rPr>
            </w:pPr>
            <w:r w:rsidRPr="00015953">
              <w:rPr>
                <w:lang w:val="fr-FR"/>
              </w:rPr>
              <w:t>capturée au moyen de chaluts de fond d’un maillage de 70 à 99 mm utilisés en combinaison avec des engins hautement sélectifs, tels que prévus à l’article 9, paragraphe 2, et à l’article 10, paragraphe 2, du présent règlement</w:t>
            </w:r>
          </w:p>
        </w:tc>
        <w:tc>
          <w:tcPr>
            <w:tcW w:w="5347" w:type="dxa"/>
          </w:tcPr>
          <w:p w14:paraId="168415EE" w14:textId="77777777" w:rsidR="00776CF9" w:rsidRPr="00015953" w:rsidRDefault="00776CF9" w:rsidP="00776CF9">
            <w:pPr>
              <w:rPr>
                <w:rFonts w:ascii="Calibri" w:hAnsi="Calibri" w:cs="Calibri"/>
                <w:color w:val="000000"/>
                <w:lang w:val="fr-FR"/>
              </w:rPr>
            </w:pPr>
          </w:p>
        </w:tc>
      </w:tr>
      <w:tr w:rsidR="00D052FC" w:rsidRPr="00015953" w14:paraId="6003D0D1" w14:textId="77777777" w:rsidTr="00DA1D90">
        <w:tc>
          <w:tcPr>
            <w:tcW w:w="1508" w:type="dxa"/>
          </w:tcPr>
          <w:p w14:paraId="10E478F4" w14:textId="508C29C6" w:rsidR="00D052FC" w:rsidRPr="00015953" w:rsidRDefault="00D052FC" w:rsidP="00776CF9">
            <w:pPr>
              <w:rPr>
                <w:b/>
                <w:bCs/>
                <w:lang w:val="fr-FR"/>
              </w:rPr>
            </w:pPr>
            <w:r w:rsidRPr="00015953">
              <w:rPr>
                <w:b/>
                <w:bCs/>
                <w:lang w:val="fr-FR"/>
              </w:rPr>
              <w:t xml:space="preserve">Sole 7d </w:t>
            </w:r>
          </w:p>
        </w:tc>
        <w:tc>
          <w:tcPr>
            <w:tcW w:w="6181" w:type="dxa"/>
          </w:tcPr>
          <w:p w14:paraId="320ABB1B" w14:textId="77777777" w:rsidR="00552A3F" w:rsidRPr="00015953" w:rsidRDefault="00552A3F" w:rsidP="00D052FC">
            <w:pPr>
              <w:rPr>
                <w:lang w:val="fr-FR"/>
              </w:rPr>
            </w:pPr>
            <w:r w:rsidRPr="00015953">
              <w:rPr>
                <w:lang w:val="fr-FR"/>
              </w:rPr>
              <w:t xml:space="preserve">situées à moins de six milles marins des côtes mais en dehors des zones de nourricerie reconnues, captures de taille inférieure à la taille minimale de référence de conservation effectuées au moyen de chaluts à panneaux avec un maillage de cul de chalut de 80 à 99 mm, par des navires: </w:t>
            </w:r>
          </w:p>
          <w:p w14:paraId="29956616" w14:textId="77777777" w:rsidR="00552A3F" w:rsidRPr="00015953" w:rsidRDefault="00552A3F" w:rsidP="00D052FC">
            <w:pPr>
              <w:rPr>
                <w:lang w:val="fr-FR"/>
              </w:rPr>
            </w:pPr>
            <w:r w:rsidRPr="00015953">
              <w:rPr>
                <w:lang w:val="fr-FR"/>
              </w:rPr>
              <w:t xml:space="preserve">a) d’une longueur maximale de 10 mètres et d’une puissance motrice maximale de 221 kW; et </w:t>
            </w:r>
          </w:p>
          <w:p w14:paraId="2800F5E5" w14:textId="60B8B8C6" w:rsidR="00D052FC" w:rsidRPr="00015953" w:rsidRDefault="00552A3F" w:rsidP="00D052FC">
            <w:pPr>
              <w:rPr>
                <w:lang w:val="fr-FR"/>
              </w:rPr>
            </w:pPr>
            <w:r w:rsidRPr="00015953">
              <w:rPr>
                <w:lang w:val="fr-FR"/>
              </w:rPr>
              <w:t>b) pêchant dans des eaux d’une profondeur de 30 mètres ou moins et avec des durées de trait limitées à 1 h 30.</w:t>
            </w:r>
          </w:p>
        </w:tc>
        <w:tc>
          <w:tcPr>
            <w:tcW w:w="5347" w:type="dxa"/>
          </w:tcPr>
          <w:p w14:paraId="3181D27B" w14:textId="77777777" w:rsidR="00015953" w:rsidRPr="00015953" w:rsidRDefault="00015953" w:rsidP="001977C1">
            <w:pPr>
              <w:rPr>
                <w:rFonts w:ascii="Calibri" w:hAnsi="Calibri" w:cs="Calibri"/>
                <w:lang w:val="fr-FR"/>
              </w:rPr>
            </w:pPr>
            <w:r w:rsidRPr="00015953">
              <w:rPr>
                <w:lang w:val="fr"/>
              </w:rPr>
              <w:t>Surveiller l’efficacité des mesures de sélectivité introduites</w:t>
            </w:r>
          </w:p>
          <w:p w14:paraId="47E61015" w14:textId="66187EE5" w:rsidR="00D052FC" w:rsidRPr="00015953" w:rsidRDefault="00015953" w:rsidP="00E9119A">
            <w:pPr>
              <w:rPr>
                <w:rFonts w:ascii="Calibri" w:hAnsi="Calibri" w:cs="Calibri"/>
                <w:color w:val="000000"/>
                <w:lang w:val="fr-FR"/>
              </w:rPr>
            </w:pPr>
            <w:r w:rsidRPr="00015953">
              <w:rPr>
                <w:color w:val="000000"/>
                <w:lang w:val="fr"/>
              </w:rPr>
              <w:t>Reconsidérer l’exemption de survie élevée semblable pour la s</w:t>
            </w:r>
            <w:r>
              <w:rPr>
                <w:color w:val="000000"/>
                <w:lang w:val="fr"/>
              </w:rPr>
              <w:t>ole</w:t>
            </w:r>
            <w:r w:rsidRPr="00015953">
              <w:rPr>
                <w:color w:val="000000"/>
                <w:lang w:val="fr"/>
              </w:rPr>
              <w:t xml:space="preserve"> en 7e comme pour </w:t>
            </w:r>
            <w:r>
              <w:rPr>
                <w:color w:val="000000"/>
                <w:lang w:val="fr"/>
              </w:rPr>
              <w:t>la sole</w:t>
            </w:r>
            <w:r w:rsidRPr="00015953">
              <w:rPr>
                <w:color w:val="000000"/>
                <w:lang w:val="fr"/>
              </w:rPr>
              <w:t xml:space="preserve"> en 7d, une fois que l</w:t>
            </w:r>
            <w:r>
              <w:rPr>
                <w:color w:val="000000"/>
                <w:lang w:val="fr"/>
              </w:rPr>
              <w:t>es EM</w:t>
            </w:r>
            <w:r w:rsidRPr="00015953">
              <w:rPr>
                <w:color w:val="000000"/>
                <w:lang w:val="fr"/>
              </w:rPr>
              <w:t xml:space="preserve"> </w:t>
            </w:r>
            <w:r w:rsidR="00E24D7D" w:rsidRPr="00015953">
              <w:rPr>
                <w:color w:val="000000"/>
                <w:lang w:val="fr"/>
              </w:rPr>
              <w:t>fournir</w:t>
            </w:r>
            <w:r w:rsidR="00E24D7D">
              <w:rPr>
                <w:color w:val="000000"/>
                <w:lang w:val="fr"/>
              </w:rPr>
              <w:t>ent</w:t>
            </w:r>
            <w:bookmarkStart w:id="0" w:name="_GoBack"/>
            <w:bookmarkEnd w:id="0"/>
            <w:r w:rsidRPr="00015953">
              <w:rPr>
                <w:color w:val="000000"/>
                <w:lang w:val="fr"/>
              </w:rPr>
              <w:t xml:space="preserve"> des renseignements sur la composition des prises de pêche et le taux de survie connexe de l’espèce dans les pêches pertinentes.</w:t>
            </w:r>
          </w:p>
        </w:tc>
      </w:tr>
      <w:tr w:rsidR="00776CF9" w:rsidRPr="00015953" w14:paraId="3BD74252" w14:textId="77777777" w:rsidTr="00DA1D90">
        <w:tc>
          <w:tcPr>
            <w:tcW w:w="1508" w:type="dxa"/>
          </w:tcPr>
          <w:p w14:paraId="109DE427" w14:textId="1444AED6" w:rsidR="00776CF9" w:rsidRPr="00015953" w:rsidRDefault="00552A3F" w:rsidP="00776CF9">
            <w:pPr>
              <w:rPr>
                <w:rFonts w:ascii="Calibri" w:hAnsi="Calibri" w:cs="Calibri"/>
                <w:b/>
                <w:bCs/>
                <w:color w:val="000000"/>
                <w:lang w:val="fr-FR"/>
              </w:rPr>
            </w:pPr>
            <w:r w:rsidRPr="00015953">
              <w:rPr>
                <w:rFonts w:ascii="Calibri" w:hAnsi="Calibri" w:cs="Calibri"/>
                <w:b/>
                <w:bCs/>
                <w:color w:val="000000"/>
                <w:lang w:val="fr-FR"/>
              </w:rPr>
              <w:t>Raies</w:t>
            </w:r>
            <w:r w:rsidR="00776CF9" w:rsidRPr="00015953">
              <w:rPr>
                <w:rFonts w:ascii="Calibri" w:hAnsi="Calibri" w:cs="Calibri"/>
                <w:b/>
                <w:bCs/>
                <w:color w:val="000000"/>
                <w:lang w:val="fr-FR"/>
              </w:rPr>
              <w:t xml:space="preserve"> 6 </w:t>
            </w:r>
            <w:r w:rsidR="002270A6">
              <w:rPr>
                <w:rFonts w:ascii="Calibri" w:hAnsi="Calibri" w:cs="Calibri"/>
                <w:b/>
                <w:bCs/>
                <w:color w:val="000000"/>
                <w:lang w:val="fr-FR"/>
              </w:rPr>
              <w:t>et</w:t>
            </w:r>
            <w:r w:rsidR="00776CF9" w:rsidRPr="00015953">
              <w:rPr>
                <w:rFonts w:ascii="Calibri" w:hAnsi="Calibri" w:cs="Calibri"/>
                <w:b/>
                <w:bCs/>
                <w:color w:val="000000"/>
                <w:lang w:val="fr-FR"/>
              </w:rPr>
              <w:t xml:space="preserve"> 7*</w:t>
            </w:r>
          </w:p>
          <w:p w14:paraId="3DE8C612" w14:textId="77777777" w:rsidR="00776CF9" w:rsidRPr="00015953" w:rsidRDefault="00776CF9" w:rsidP="00776CF9">
            <w:pPr>
              <w:rPr>
                <w:b/>
                <w:bCs/>
                <w:lang w:val="fr-FR"/>
              </w:rPr>
            </w:pPr>
          </w:p>
        </w:tc>
        <w:tc>
          <w:tcPr>
            <w:tcW w:w="6181" w:type="dxa"/>
          </w:tcPr>
          <w:p w14:paraId="26038685" w14:textId="1DCB6126" w:rsidR="00776CF9" w:rsidRPr="00015953" w:rsidRDefault="00552A3F" w:rsidP="00776CF9">
            <w:pPr>
              <w:rPr>
                <w:rFonts w:ascii="Calibri" w:hAnsi="Calibri" w:cs="Calibri"/>
                <w:color w:val="000000"/>
                <w:lang w:val="fr-FR"/>
              </w:rPr>
            </w:pPr>
            <w:r w:rsidRPr="00015953">
              <w:rPr>
                <w:lang w:val="fr-FR"/>
              </w:rPr>
              <w:t>capturées au moyen de tout engin de pêche dans les eaux occidentales septentrionales</w:t>
            </w:r>
            <w:r w:rsidRPr="00015953">
              <w:rPr>
                <w:lang w:val="fr-FR"/>
              </w:rPr>
              <w:t>.</w:t>
            </w:r>
          </w:p>
        </w:tc>
        <w:tc>
          <w:tcPr>
            <w:tcW w:w="5347" w:type="dxa"/>
          </w:tcPr>
          <w:p w14:paraId="704C57F5" w14:textId="5E0FB4BE" w:rsidR="00776CF9" w:rsidRPr="00015953" w:rsidRDefault="00015953" w:rsidP="00776CF9">
            <w:pPr>
              <w:rPr>
                <w:rFonts w:ascii="Calibri" w:hAnsi="Calibri" w:cs="Calibri"/>
                <w:color w:val="000000"/>
                <w:lang w:val="fr-FR"/>
              </w:rPr>
            </w:pPr>
            <w:r w:rsidRPr="00015953">
              <w:rPr>
                <w:color w:val="000000"/>
                <w:lang w:val="fr"/>
              </w:rPr>
              <w:t xml:space="preserve">Conformément à la Feuille de route pour </w:t>
            </w:r>
            <w:r>
              <w:rPr>
                <w:color w:val="000000"/>
                <w:lang w:val="fr"/>
              </w:rPr>
              <w:t>raies en las EOS</w:t>
            </w:r>
            <w:r w:rsidRPr="00015953">
              <w:rPr>
                <w:color w:val="000000"/>
                <w:lang w:val="fr"/>
              </w:rPr>
              <w:t>, le programme de collecte de données, d’autres expériences de survie élevées et l’amélioration de la sélectivité devraient se poursuivre.</w:t>
            </w:r>
          </w:p>
        </w:tc>
      </w:tr>
      <w:tr w:rsidR="00776CF9" w:rsidRPr="00015953" w14:paraId="2B12F32D" w14:textId="77777777" w:rsidTr="00DA1D90">
        <w:tc>
          <w:tcPr>
            <w:tcW w:w="1508" w:type="dxa"/>
          </w:tcPr>
          <w:p w14:paraId="713DE013" w14:textId="05EFE4D8" w:rsidR="00776CF9" w:rsidRPr="00015953" w:rsidRDefault="00776CF9" w:rsidP="00776CF9">
            <w:pPr>
              <w:rPr>
                <w:rFonts w:ascii="Calibri" w:hAnsi="Calibri" w:cs="Calibri"/>
                <w:b/>
                <w:bCs/>
                <w:color w:val="000000"/>
                <w:lang w:val="fr-FR"/>
              </w:rPr>
            </w:pPr>
            <w:r w:rsidRPr="00015953">
              <w:rPr>
                <w:rFonts w:ascii="Calibri" w:hAnsi="Calibri" w:cs="Calibri"/>
                <w:b/>
                <w:bCs/>
                <w:color w:val="000000"/>
                <w:lang w:val="fr-FR"/>
              </w:rPr>
              <w:t>Pl</w:t>
            </w:r>
            <w:r w:rsidR="00552A3F" w:rsidRPr="00015953">
              <w:rPr>
                <w:rFonts w:ascii="Calibri" w:hAnsi="Calibri" w:cs="Calibri"/>
                <w:b/>
                <w:bCs/>
                <w:color w:val="000000"/>
                <w:lang w:val="fr-FR"/>
              </w:rPr>
              <w:t>ie</w:t>
            </w:r>
            <w:r w:rsidRPr="00015953">
              <w:rPr>
                <w:rFonts w:ascii="Calibri" w:hAnsi="Calibri" w:cs="Calibri"/>
                <w:b/>
                <w:bCs/>
                <w:color w:val="000000"/>
                <w:lang w:val="fr-FR"/>
              </w:rPr>
              <w:t xml:space="preserve"> 7d</w:t>
            </w:r>
            <w:r w:rsidR="00840FD8" w:rsidRPr="00015953">
              <w:rPr>
                <w:rFonts w:ascii="Calibri" w:hAnsi="Calibri" w:cs="Calibri"/>
                <w:b/>
                <w:bCs/>
                <w:color w:val="000000"/>
                <w:lang w:val="fr-FR"/>
              </w:rPr>
              <w:t>-g</w:t>
            </w:r>
          </w:p>
        </w:tc>
        <w:tc>
          <w:tcPr>
            <w:tcW w:w="6181" w:type="dxa"/>
          </w:tcPr>
          <w:p w14:paraId="4B1DD650" w14:textId="05D9C29B" w:rsidR="00776CF9" w:rsidRPr="00015953" w:rsidRDefault="00552A3F" w:rsidP="00776CF9">
            <w:pPr>
              <w:rPr>
                <w:rFonts w:ascii="Calibri" w:hAnsi="Calibri" w:cs="Calibri"/>
                <w:color w:val="000000"/>
                <w:lang w:val="fr-FR"/>
              </w:rPr>
            </w:pPr>
            <w:r w:rsidRPr="00015953">
              <w:rPr>
                <w:lang w:val="fr-FR"/>
              </w:rPr>
              <w:t xml:space="preserve">Capturée </w:t>
            </w:r>
            <w:r w:rsidRPr="00015953">
              <w:rPr>
                <w:lang w:val="fr-FR"/>
              </w:rPr>
              <w:t>au moyen de trémails</w:t>
            </w:r>
            <w:r w:rsidR="00840FD8" w:rsidRPr="00015953">
              <w:rPr>
                <w:rFonts w:ascii="Calibri" w:hAnsi="Calibri" w:cs="Calibri"/>
                <w:color w:val="000000"/>
                <w:lang w:val="fr-FR"/>
              </w:rPr>
              <w:t>.</w:t>
            </w:r>
          </w:p>
          <w:p w14:paraId="6DCA3B0D" w14:textId="6999DA37" w:rsidR="00776CF9" w:rsidRPr="00015953" w:rsidRDefault="00776CF9" w:rsidP="00776CF9">
            <w:pPr>
              <w:rPr>
                <w:rFonts w:ascii="Calibri" w:hAnsi="Calibri" w:cs="Calibri"/>
                <w:color w:val="000000"/>
                <w:lang w:val="fr-FR"/>
              </w:rPr>
            </w:pPr>
          </w:p>
        </w:tc>
        <w:tc>
          <w:tcPr>
            <w:tcW w:w="5347" w:type="dxa"/>
          </w:tcPr>
          <w:p w14:paraId="02484F32" w14:textId="423C5538" w:rsidR="00776CF9" w:rsidRPr="00015953" w:rsidRDefault="00015953" w:rsidP="00776CF9">
            <w:pPr>
              <w:rPr>
                <w:rFonts w:ascii="Calibri" w:hAnsi="Calibri" w:cs="Calibri"/>
                <w:color w:val="000000"/>
                <w:lang w:val="fr-FR"/>
              </w:rPr>
            </w:pPr>
            <w:r w:rsidRPr="00015953">
              <w:rPr>
                <w:color w:val="000000"/>
                <w:lang w:val="fr"/>
              </w:rPr>
              <w:t>D’autres travaux de survie devraient être priorisés pour confirmer les taux de survie.</w:t>
            </w:r>
          </w:p>
        </w:tc>
      </w:tr>
      <w:tr w:rsidR="00D052FC" w:rsidRPr="00015953" w14:paraId="6D98B092" w14:textId="77777777" w:rsidTr="00DA1D90">
        <w:tc>
          <w:tcPr>
            <w:tcW w:w="1508" w:type="dxa"/>
          </w:tcPr>
          <w:p w14:paraId="3BD4C254" w14:textId="0BD2A5F1" w:rsidR="00D052FC" w:rsidRPr="00015953" w:rsidRDefault="00552A3F" w:rsidP="00776CF9">
            <w:pPr>
              <w:rPr>
                <w:rFonts w:ascii="Calibri" w:hAnsi="Calibri" w:cs="Calibri"/>
                <w:b/>
                <w:bCs/>
                <w:color w:val="000000"/>
                <w:lang w:val="fr-FR"/>
              </w:rPr>
            </w:pPr>
            <w:r w:rsidRPr="00015953">
              <w:rPr>
                <w:rFonts w:ascii="Calibri" w:hAnsi="Calibri" w:cs="Calibri"/>
                <w:b/>
                <w:bCs/>
                <w:color w:val="000000"/>
                <w:lang w:val="fr-FR"/>
              </w:rPr>
              <w:lastRenderedPageBreak/>
              <w:t>Plie</w:t>
            </w:r>
            <w:r w:rsidR="00840FD8" w:rsidRPr="00015953">
              <w:rPr>
                <w:rFonts w:ascii="Calibri" w:hAnsi="Calibri" w:cs="Calibri"/>
                <w:b/>
                <w:bCs/>
                <w:color w:val="000000"/>
                <w:lang w:val="fr-FR"/>
              </w:rPr>
              <w:t xml:space="preserve"> 7d-g</w:t>
            </w:r>
          </w:p>
        </w:tc>
        <w:tc>
          <w:tcPr>
            <w:tcW w:w="6181" w:type="dxa"/>
          </w:tcPr>
          <w:p w14:paraId="6C2FF1C5" w14:textId="568B95C9" w:rsidR="00D052FC" w:rsidRPr="00015953" w:rsidRDefault="00552A3F" w:rsidP="00776CF9">
            <w:pPr>
              <w:rPr>
                <w:rFonts w:ascii="Calibri" w:hAnsi="Calibri" w:cs="Calibri"/>
                <w:color w:val="000000"/>
                <w:lang w:val="fr-FR"/>
              </w:rPr>
            </w:pPr>
            <w:r w:rsidRPr="00015953">
              <w:rPr>
                <w:rFonts w:ascii="Calibri" w:hAnsi="Calibri" w:cs="Calibri"/>
                <w:color w:val="000000"/>
                <w:lang w:val="fr-FR"/>
              </w:rPr>
              <w:t xml:space="preserve">Capturée </w:t>
            </w:r>
            <w:r w:rsidRPr="00015953">
              <w:rPr>
                <w:lang w:val="fr-FR"/>
              </w:rPr>
              <w:t>au moyen de chaluts à panneaux</w:t>
            </w:r>
            <w:r w:rsidR="00840FD8" w:rsidRPr="00015953">
              <w:rPr>
                <w:rFonts w:ascii="Calibri" w:hAnsi="Calibri" w:cs="Calibri"/>
                <w:color w:val="000000"/>
                <w:lang w:val="fr-FR"/>
              </w:rPr>
              <w:t xml:space="preserve"> </w:t>
            </w:r>
          </w:p>
        </w:tc>
        <w:tc>
          <w:tcPr>
            <w:tcW w:w="5347" w:type="dxa"/>
          </w:tcPr>
          <w:p w14:paraId="065B09EE" w14:textId="48541A0E" w:rsidR="00D052FC" w:rsidRPr="00015953" w:rsidRDefault="00015953" w:rsidP="00776CF9">
            <w:pPr>
              <w:rPr>
                <w:rFonts w:ascii="Calibri" w:hAnsi="Calibri" w:cs="Calibri"/>
                <w:color w:val="000000"/>
                <w:lang w:val="fr-FR"/>
              </w:rPr>
            </w:pPr>
            <w:r w:rsidRPr="00015953">
              <w:rPr>
                <w:color w:val="000000"/>
                <w:lang w:val="fr"/>
              </w:rPr>
              <w:t>D’autres travaux de survie devraient être priorisés pour confirmer les taux de survie.</w:t>
            </w:r>
          </w:p>
        </w:tc>
      </w:tr>
      <w:tr w:rsidR="00D052FC" w:rsidRPr="00015953" w14:paraId="033C4510" w14:textId="77777777" w:rsidTr="00DA1D90">
        <w:tc>
          <w:tcPr>
            <w:tcW w:w="1508" w:type="dxa"/>
          </w:tcPr>
          <w:p w14:paraId="5122678E" w14:textId="71C56D5B" w:rsidR="00D052FC" w:rsidRPr="00015953" w:rsidRDefault="00552A3F" w:rsidP="00776CF9">
            <w:pPr>
              <w:rPr>
                <w:rFonts w:ascii="Calibri" w:hAnsi="Calibri" w:cs="Calibri"/>
                <w:b/>
                <w:bCs/>
                <w:color w:val="000000"/>
                <w:lang w:val="fr-FR"/>
              </w:rPr>
            </w:pPr>
            <w:r w:rsidRPr="00015953">
              <w:rPr>
                <w:rFonts w:ascii="Calibri" w:hAnsi="Calibri" w:cs="Calibri"/>
                <w:b/>
                <w:bCs/>
                <w:color w:val="000000"/>
                <w:lang w:val="fr-FR"/>
              </w:rPr>
              <w:t>Plie</w:t>
            </w:r>
            <w:r w:rsidR="00840FD8" w:rsidRPr="00015953">
              <w:rPr>
                <w:rFonts w:ascii="Calibri" w:hAnsi="Calibri" w:cs="Calibri"/>
                <w:b/>
                <w:bCs/>
                <w:color w:val="000000"/>
                <w:lang w:val="fr-FR"/>
              </w:rPr>
              <w:t xml:space="preserve"> 7a-7k (tempora</w:t>
            </w:r>
            <w:r w:rsidR="00015953">
              <w:rPr>
                <w:rFonts w:ascii="Calibri" w:hAnsi="Calibri" w:cs="Calibri"/>
                <w:b/>
                <w:bCs/>
                <w:color w:val="000000"/>
                <w:lang w:val="fr-FR"/>
              </w:rPr>
              <w:t>ires</w:t>
            </w:r>
            <w:r w:rsidR="00840FD8" w:rsidRPr="00015953">
              <w:rPr>
                <w:rFonts w:ascii="Calibri" w:hAnsi="Calibri" w:cs="Calibri"/>
                <w:b/>
                <w:bCs/>
                <w:color w:val="000000"/>
                <w:lang w:val="fr-FR"/>
              </w:rPr>
              <w:t xml:space="preserve"> 7h, j, k)</w:t>
            </w:r>
          </w:p>
        </w:tc>
        <w:tc>
          <w:tcPr>
            <w:tcW w:w="6181" w:type="dxa"/>
          </w:tcPr>
          <w:p w14:paraId="30F25F39" w14:textId="55765020" w:rsidR="006D6B27" w:rsidRPr="00015953" w:rsidRDefault="003415BD" w:rsidP="00776CF9">
            <w:pPr>
              <w:rPr>
                <w:lang w:val="fr-FR"/>
              </w:rPr>
            </w:pPr>
            <w:r w:rsidRPr="00015953">
              <w:rPr>
                <w:lang w:val="fr-FR"/>
              </w:rPr>
              <w:t xml:space="preserve">Capturée </w:t>
            </w:r>
            <w:r w:rsidRPr="00015953">
              <w:rPr>
                <w:lang w:val="fr-FR"/>
              </w:rPr>
              <w:t xml:space="preserve">par des navires à chaluts à perche équipés d’un cordage anti-pierres ou d’un panneau d’échappement du benthos, d’une puissance motrice maximale supérieure à 221 kW; </w:t>
            </w:r>
          </w:p>
          <w:p w14:paraId="36ECC26D" w14:textId="77777777" w:rsidR="003415BD" w:rsidRPr="00015953" w:rsidRDefault="003415BD" w:rsidP="00776CF9">
            <w:pPr>
              <w:rPr>
                <w:lang w:val="fr-FR"/>
              </w:rPr>
            </w:pPr>
          </w:p>
          <w:p w14:paraId="2FEBA142" w14:textId="4FCCA730" w:rsidR="006D6B27" w:rsidRPr="00015953" w:rsidRDefault="00015953" w:rsidP="00776CF9">
            <w:pPr>
              <w:rPr>
                <w:rFonts w:ascii="Calibri" w:hAnsi="Calibri" w:cs="Calibri"/>
                <w:color w:val="000000"/>
                <w:lang w:val="fr-FR"/>
              </w:rPr>
            </w:pPr>
            <w:r w:rsidRPr="00015953">
              <w:rPr>
                <w:color w:val="000000"/>
                <w:lang w:val="fr"/>
              </w:rPr>
              <w:t>Les données fournies par l</w:t>
            </w:r>
            <w:r>
              <w:rPr>
                <w:color w:val="000000"/>
                <w:lang w:val="fr"/>
              </w:rPr>
              <w:t>es EM</w:t>
            </w:r>
            <w:r w:rsidRPr="00015953">
              <w:rPr>
                <w:color w:val="000000"/>
                <w:lang w:val="fr"/>
              </w:rPr>
              <w:t xml:space="preserve"> pour démontrer les taux élevés de survie des rejets de Plie ne couvrent pas toutes les personnes concernées et que, dans cette situation, la survie des pêches est affectée par de nombreux facteurs et est très variable.</w:t>
            </w:r>
          </w:p>
        </w:tc>
        <w:tc>
          <w:tcPr>
            <w:tcW w:w="5347" w:type="dxa"/>
          </w:tcPr>
          <w:p w14:paraId="7D961F50" w14:textId="18300BA1" w:rsidR="00D052FC" w:rsidRPr="00015953" w:rsidRDefault="00015953" w:rsidP="00776CF9">
            <w:pPr>
              <w:rPr>
                <w:rFonts w:ascii="Calibri" w:hAnsi="Calibri" w:cs="Calibri"/>
                <w:color w:val="000000"/>
                <w:lang w:val="fr-FR"/>
              </w:rPr>
            </w:pPr>
            <w:r w:rsidRPr="00015953">
              <w:rPr>
                <w:color w:val="000000"/>
                <w:lang w:val="fr"/>
              </w:rPr>
              <w:t xml:space="preserve">D’autres études de survie dans les pêches autres que les chaluts à </w:t>
            </w:r>
            <w:r>
              <w:rPr>
                <w:color w:val="000000"/>
                <w:lang w:val="fr"/>
              </w:rPr>
              <w:t>perche</w:t>
            </w:r>
            <w:r w:rsidRPr="00015953">
              <w:rPr>
                <w:color w:val="000000"/>
                <w:lang w:val="fr"/>
              </w:rPr>
              <w:t xml:space="preserve"> devraient être priorisées avec un effort particulier pour recueillir des estimations de vitalité, obtenues par les observateurs à bord, et la collecte de sources de données existantes (</w:t>
            </w:r>
            <w:r>
              <w:rPr>
                <w:color w:val="000000"/>
                <w:lang w:val="fr"/>
              </w:rPr>
              <w:t xml:space="preserve">données de </w:t>
            </w:r>
            <w:r w:rsidRPr="00015953">
              <w:rPr>
                <w:color w:val="000000"/>
                <w:lang w:val="fr"/>
              </w:rPr>
              <w:t xml:space="preserve">vitalité antérieure, observateur et REM) pour </w:t>
            </w:r>
            <w:r>
              <w:rPr>
                <w:color w:val="000000"/>
                <w:lang w:val="fr"/>
              </w:rPr>
              <w:t>p</w:t>
            </w:r>
            <w:r w:rsidRPr="00015953">
              <w:rPr>
                <w:color w:val="000000"/>
                <w:lang w:val="fr"/>
              </w:rPr>
              <w:t>lie en 7h.</w:t>
            </w:r>
          </w:p>
        </w:tc>
      </w:tr>
      <w:tr w:rsidR="00840FD8" w:rsidRPr="00015953" w14:paraId="7F9F94B5" w14:textId="77777777" w:rsidTr="00DA1D90">
        <w:tc>
          <w:tcPr>
            <w:tcW w:w="1508" w:type="dxa"/>
          </w:tcPr>
          <w:p w14:paraId="41C38729" w14:textId="08E9F2EF" w:rsidR="00840FD8" w:rsidRPr="00015953" w:rsidRDefault="00552A3F" w:rsidP="00776CF9">
            <w:pPr>
              <w:rPr>
                <w:rFonts w:ascii="Calibri" w:hAnsi="Calibri" w:cs="Calibri"/>
                <w:b/>
                <w:bCs/>
                <w:color w:val="000000"/>
                <w:lang w:val="fr-FR"/>
              </w:rPr>
            </w:pPr>
            <w:r w:rsidRPr="00015953">
              <w:rPr>
                <w:rFonts w:ascii="Calibri" w:hAnsi="Calibri" w:cs="Calibri"/>
                <w:b/>
                <w:bCs/>
                <w:color w:val="000000"/>
                <w:lang w:val="fr-FR"/>
              </w:rPr>
              <w:t>Plie</w:t>
            </w:r>
            <w:r w:rsidR="00840FD8" w:rsidRPr="00015953">
              <w:rPr>
                <w:rFonts w:ascii="Calibri" w:hAnsi="Calibri" w:cs="Calibri"/>
                <w:b/>
                <w:bCs/>
                <w:color w:val="000000"/>
                <w:lang w:val="fr-FR"/>
              </w:rPr>
              <w:t xml:space="preserve"> 7a-7k (tempora</w:t>
            </w:r>
            <w:r w:rsidR="00015953">
              <w:rPr>
                <w:rFonts w:ascii="Calibri" w:hAnsi="Calibri" w:cs="Calibri"/>
                <w:b/>
                <w:bCs/>
                <w:color w:val="000000"/>
                <w:lang w:val="fr-FR"/>
              </w:rPr>
              <w:t>ires</w:t>
            </w:r>
            <w:r w:rsidR="00840FD8" w:rsidRPr="00015953">
              <w:rPr>
                <w:rFonts w:ascii="Calibri" w:hAnsi="Calibri" w:cs="Calibri"/>
                <w:b/>
                <w:bCs/>
                <w:color w:val="000000"/>
                <w:lang w:val="fr-FR"/>
              </w:rPr>
              <w:t xml:space="preserve"> 7h, j, k)</w:t>
            </w:r>
          </w:p>
        </w:tc>
        <w:tc>
          <w:tcPr>
            <w:tcW w:w="6181" w:type="dxa"/>
          </w:tcPr>
          <w:p w14:paraId="67D70136" w14:textId="6C37D684" w:rsidR="00840FD8" w:rsidRPr="00015953" w:rsidRDefault="003415BD" w:rsidP="00776CF9">
            <w:pPr>
              <w:rPr>
                <w:rFonts w:ascii="Calibri" w:hAnsi="Calibri" w:cs="Calibri"/>
                <w:color w:val="000000"/>
                <w:lang w:val="fr-FR"/>
              </w:rPr>
            </w:pPr>
            <w:r w:rsidRPr="00015953">
              <w:rPr>
                <w:lang w:val="fr-FR"/>
              </w:rPr>
              <w:t xml:space="preserve">Capturée </w:t>
            </w:r>
            <w:r w:rsidRPr="00015953">
              <w:rPr>
                <w:lang w:val="fr-FR"/>
              </w:rPr>
              <w:t>par des navires à chaluts à perche d’une puissance motrice maximale de 221 kW ou d’une longueur maximale de 24 mètres, qui sont conçus pour pêcher à moins de douze milles marins des côtes et avec des durées de trait moyennes limitées à 1 h 30</w:t>
            </w:r>
            <w:r w:rsidR="00840FD8" w:rsidRPr="00015953">
              <w:rPr>
                <w:rFonts w:ascii="Calibri" w:hAnsi="Calibri" w:cs="Calibri"/>
                <w:color w:val="000000"/>
                <w:lang w:val="fr-FR"/>
              </w:rPr>
              <w:t>.</w:t>
            </w:r>
          </w:p>
          <w:p w14:paraId="1279943F" w14:textId="77777777" w:rsidR="006D6B27" w:rsidRPr="00015953" w:rsidRDefault="006D6B27" w:rsidP="00776CF9">
            <w:pPr>
              <w:rPr>
                <w:rFonts w:ascii="Calibri" w:hAnsi="Calibri" w:cs="Calibri"/>
                <w:color w:val="000000"/>
                <w:lang w:val="fr-FR"/>
              </w:rPr>
            </w:pPr>
          </w:p>
          <w:p w14:paraId="052517F9" w14:textId="782445D9" w:rsidR="006D6B27" w:rsidRPr="00015953" w:rsidRDefault="002270A6" w:rsidP="00776CF9">
            <w:pPr>
              <w:rPr>
                <w:rFonts w:ascii="Calibri" w:hAnsi="Calibri" w:cs="Calibri"/>
                <w:color w:val="000000"/>
                <w:lang w:val="fr-FR"/>
              </w:rPr>
            </w:pPr>
            <w:r w:rsidRPr="00015953">
              <w:rPr>
                <w:color w:val="000000"/>
                <w:lang w:val="fr"/>
              </w:rPr>
              <w:t>Les données fournies par l</w:t>
            </w:r>
            <w:r>
              <w:rPr>
                <w:color w:val="000000"/>
                <w:lang w:val="fr"/>
              </w:rPr>
              <w:t>es EM</w:t>
            </w:r>
            <w:r w:rsidRPr="00015953">
              <w:rPr>
                <w:color w:val="000000"/>
                <w:lang w:val="fr"/>
              </w:rPr>
              <w:t xml:space="preserve"> pour démontrer les taux élevés de survie des rejets de Plie ne couvrent pas toutes les personnes concernées et que, dans cette situation, la survie des pêches est affectée par de nombreux facteurs et est très variable.</w:t>
            </w:r>
          </w:p>
        </w:tc>
        <w:tc>
          <w:tcPr>
            <w:tcW w:w="5347" w:type="dxa"/>
          </w:tcPr>
          <w:p w14:paraId="7B156A65" w14:textId="0AB83C3A" w:rsidR="00840FD8" w:rsidRPr="00015953" w:rsidRDefault="002270A6" w:rsidP="00776CF9">
            <w:pPr>
              <w:rPr>
                <w:rFonts w:ascii="Calibri" w:hAnsi="Calibri" w:cs="Calibri"/>
                <w:color w:val="000000"/>
                <w:lang w:val="fr-FR"/>
              </w:rPr>
            </w:pPr>
            <w:r w:rsidRPr="00015953">
              <w:rPr>
                <w:color w:val="000000"/>
                <w:lang w:val="fr"/>
              </w:rPr>
              <w:t xml:space="preserve">D’autres études de survie dans les pêches autres que les chaluts à </w:t>
            </w:r>
            <w:r>
              <w:rPr>
                <w:color w:val="000000"/>
                <w:lang w:val="fr"/>
              </w:rPr>
              <w:t>perche</w:t>
            </w:r>
            <w:r w:rsidRPr="00015953">
              <w:rPr>
                <w:color w:val="000000"/>
                <w:lang w:val="fr"/>
              </w:rPr>
              <w:t xml:space="preserve"> devraient être priorisées avec un effort particulier pour recueillir des estimations de vitalité, obtenues par les observateurs à bord, et la collecte de sources de données existantes (</w:t>
            </w:r>
            <w:r>
              <w:rPr>
                <w:color w:val="000000"/>
                <w:lang w:val="fr"/>
              </w:rPr>
              <w:t xml:space="preserve">données de </w:t>
            </w:r>
            <w:r w:rsidRPr="00015953">
              <w:rPr>
                <w:color w:val="000000"/>
                <w:lang w:val="fr"/>
              </w:rPr>
              <w:t xml:space="preserve">vitalité antérieure, observateur et REM) pour </w:t>
            </w:r>
            <w:r>
              <w:rPr>
                <w:color w:val="000000"/>
                <w:lang w:val="fr"/>
              </w:rPr>
              <w:t>p</w:t>
            </w:r>
            <w:r w:rsidRPr="00015953">
              <w:rPr>
                <w:color w:val="000000"/>
                <w:lang w:val="fr"/>
              </w:rPr>
              <w:t>lie en 7h.</w:t>
            </w:r>
          </w:p>
        </w:tc>
      </w:tr>
      <w:tr w:rsidR="00D052FC" w:rsidRPr="00015953" w14:paraId="3E8471EA" w14:textId="77777777" w:rsidTr="00DA1D90">
        <w:tc>
          <w:tcPr>
            <w:tcW w:w="1508" w:type="dxa"/>
          </w:tcPr>
          <w:p w14:paraId="5847DB28" w14:textId="20264811" w:rsidR="00D052FC" w:rsidRPr="00015953" w:rsidRDefault="00552A3F" w:rsidP="00776CF9">
            <w:pPr>
              <w:rPr>
                <w:rFonts w:ascii="Calibri" w:hAnsi="Calibri" w:cs="Calibri"/>
                <w:b/>
                <w:bCs/>
                <w:color w:val="000000"/>
                <w:lang w:val="fr-FR"/>
              </w:rPr>
            </w:pPr>
            <w:r w:rsidRPr="00015953">
              <w:rPr>
                <w:rFonts w:ascii="Calibri" w:hAnsi="Calibri" w:cs="Calibri"/>
                <w:b/>
                <w:bCs/>
                <w:color w:val="000000"/>
                <w:lang w:val="fr-FR"/>
              </w:rPr>
              <w:t>Plie</w:t>
            </w:r>
            <w:r w:rsidR="00840FD8" w:rsidRPr="00015953">
              <w:rPr>
                <w:rFonts w:ascii="Calibri" w:hAnsi="Calibri" w:cs="Calibri"/>
                <w:b/>
                <w:bCs/>
                <w:color w:val="000000"/>
                <w:lang w:val="fr-FR"/>
              </w:rPr>
              <w:t xml:space="preserve"> 7d</w:t>
            </w:r>
          </w:p>
        </w:tc>
        <w:tc>
          <w:tcPr>
            <w:tcW w:w="6181" w:type="dxa"/>
          </w:tcPr>
          <w:p w14:paraId="57AF62F3" w14:textId="615A6186" w:rsidR="00D052FC" w:rsidRPr="00015953" w:rsidRDefault="003415BD" w:rsidP="00776CF9">
            <w:pPr>
              <w:rPr>
                <w:rFonts w:ascii="Calibri" w:hAnsi="Calibri" w:cs="Calibri"/>
                <w:color w:val="000000"/>
                <w:lang w:val="fr-FR"/>
              </w:rPr>
            </w:pPr>
            <w:r w:rsidRPr="00015953">
              <w:rPr>
                <w:rFonts w:ascii="Calibri" w:hAnsi="Calibri" w:cs="Calibri"/>
                <w:color w:val="000000"/>
                <w:lang w:val="fr-FR"/>
              </w:rPr>
              <w:t xml:space="preserve">Capturée </w:t>
            </w:r>
            <w:r w:rsidRPr="00015953">
              <w:rPr>
                <w:lang w:val="fr-FR"/>
              </w:rPr>
              <w:t>au moyen de sennes danoises</w:t>
            </w:r>
          </w:p>
        </w:tc>
        <w:tc>
          <w:tcPr>
            <w:tcW w:w="5347" w:type="dxa"/>
          </w:tcPr>
          <w:p w14:paraId="7E73E0CF" w14:textId="4AB36BAE" w:rsidR="00D052FC" w:rsidRPr="00015953" w:rsidRDefault="002270A6" w:rsidP="00776CF9">
            <w:pPr>
              <w:rPr>
                <w:rFonts w:ascii="Calibri" w:hAnsi="Calibri" w:cs="Calibri"/>
                <w:color w:val="000000"/>
                <w:lang w:val="fr-FR"/>
              </w:rPr>
            </w:pPr>
            <w:r w:rsidRPr="00015953">
              <w:rPr>
                <w:color w:val="000000"/>
                <w:lang w:val="fr"/>
              </w:rPr>
              <w:t>D’autres travaux de survie devraient être priorisés pour confirmer les taux de survie.</w:t>
            </w:r>
          </w:p>
        </w:tc>
      </w:tr>
      <w:tr w:rsidR="00840FD8" w:rsidRPr="00015953" w14:paraId="14EE9697" w14:textId="77777777" w:rsidTr="00DA1D90">
        <w:tc>
          <w:tcPr>
            <w:tcW w:w="1508" w:type="dxa"/>
          </w:tcPr>
          <w:p w14:paraId="09472B0F" w14:textId="7DD289E6" w:rsidR="00840FD8" w:rsidRPr="00015953" w:rsidRDefault="00840FD8" w:rsidP="00776CF9">
            <w:pPr>
              <w:rPr>
                <w:rFonts w:ascii="Calibri" w:hAnsi="Calibri" w:cs="Calibri"/>
                <w:b/>
                <w:bCs/>
                <w:color w:val="000000"/>
                <w:lang w:val="fr-FR"/>
              </w:rPr>
            </w:pPr>
            <w:r w:rsidRPr="00015953">
              <w:rPr>
                <w:rFonts w:ascii="Calibri" w:hAnsi="Calibri" w:cs="Calibri"/>
                <w:b/>
                <w:bCs/>
                <w:color w:val="000000"/>
                <w:lang w:val="fr-FR"/>
              </w:rPr>
              <w:t xml:space="preserve">5b, 6 </w:t>
            </w:r>
            <w:r w:rsidR="002270A6">
              <w:rPr>
                <w:rFonts w:ascii="Calibri" w:hAnsi="Calibri" w:cs="Calibri"/>
                <w:b/>
                <w:bCs/>
                <w:color w:val="000000"/>
                <w:lang w:val="fr-FR"/>
              </w:rPr>
              <w:t xml:space="preserve">et </w:t>
            </w:r>
            <w:r w:rsidRPr="00015953">
              <w:rPr>
                <w:rFonts w:ascii="Calibri" w:hAnsi="Calibri" w:cs="Calibri"/>
                <w:b/>
                <w:bCs/>
                <w:color w:val="000000"/>
                <w:lang w:val="fr-FR"/>
              </w:rPr>
              <w:t>7</w:t>
            </w:r>
          </w:p>
        </w:tc>
        <w:tc>
          <w:tcPr>
            <w:tcW w:w="6181" w:type="dxa"/>
          </w:tcPr>
          <w:p w14:paraId="0A4B9E84" w14:textId="798A5369" w:rsidR="00840FD8" w:rsidRPr="00015953" w:rsidRDefault="003415BD" w:rsidP="00776CF9">
            <w:pPr>
              <w:rPr>
                <w:rFonts w:ascii="Calibri" w:hAnsi="Calibri" w:cs="Calibri"/>
                <w:color w:val="000000"/>
                <w:lang w:val="fr-FR"/>
              </w:rPr>
            </w:pPr>
            <w:r w:rsidRPr="00015953">
              <w:rPr>
                <w:lang w:val="fr-FR"/>
              </w:rPr>
              <w:t>E</w:t>
            </w:r>
            <w:r w:rsidRPr="00015953">
              <w:rPr>
                <w:lang w:val="fr-FR"/>
              </w:rPr>
              <w:t>spèces capturées au moyen de casiers, pièges et nasses</w:t>
            </w:r>
          </w:p>
        </w:tc>
        <w:tc>
          <w:tcPr>
            <w:tcW w:w="5347" w:type="dxa"/>
          </w:tcPr>
          <w:p w14:paraId="120CED0C" w14:textId="77777777" w:rsidR="00840FD8" w:rsidRPr="00015953" w:rsidRDefault="00840FD8" w:rsidP="00776CF9">
            <w:pPr>
              <w:rPr>
                <w:rFonts w:ascii="Calibri" w:hAnsi="Calibri" w:cs="Calibri"/>
                <w:color w:val="000000"/>
                <w:lang w:val="fr-FR"/>
              </w:rPr>
            </w:pPr>
          </w:p>
        </w:tc>
      </w:tr>
    </w:tbl>
    <w:p w14:paraId="339681F9" w14:textId="6E5526F2" w:rsidR="001809C0" w:rsidRPr="00015953" w:rsidRDefault="001809C0" w:rsidP="001809C0">
      <w:pPr>
        <w:rPr>
          <w:b/>
          <w:bCs/>
          <w:lang w:val="fr-FR"/>
        </w:rPr>
      </w:pPr>
    </w:p>
    <w:p w14:paraId="53C4035B" w14:textId="188542B2" w:rsidR="00782C38" w:rsidRPr="00015953" w:rsidRDefault="003415BD" w:rsidP="001809C0">
      <w:pPr>
        <w:rPr>
          <w:b/>
          <w:bCs/>
          <w:lang w:val="fr-FR"/>
        </w:rPr>
      </w:pPr>
      <w:r w:rsidRPr="00015953">
        <w:rPr>
          <w:b/>
          <w:bCs/>
          <w:lang w:val="fr-FR"/>
        </w:rPr>
        <w:t>Exemptions d</w:t>
      </w:r>
      <w:r w:rsidR="00782C38" w:rsidRPr="00015953">
        <w:rPr>
          <w:b/>
          <w:bCs/>
          <w:lang w:val="fr-FR"/>
        </w:rPr>
        <w:t>e minimis</w:t>
      </w:r>
    </w:p>
    <w:tbl>
      <w:tblPr>
        <w:tblStyle w:val="TableGrid"/>
        <w:tblW w:w="13036" w:type="dxa"/>
        <w:tblLook w:val="04A0" w:firstRow="1" w:lastRow="0" w:firstColumn="1" w:lastColumn="0" w:noHBand="0" w:noVBand="1"/>
      </w:tblPr>
      <w:tblGrid>
        <w:gridCol w:w="1555"/>
        <w:gridCol w:w="6095"/>
        <w:gridCol w:w="5386"/>
      </w:tblGrid>
      <w:tr w:rsidR="0052790A" w:rsidRPr="00015953" w14:paraId="34A0C7F1" w14:textId="77777777" w:rsidTr="00DA1D90">
        <w:tc>
          <w:tcPr>
            <w:tcW w:w="1555" w:type="dxa"/>
          </w:tcPr>
          <w:p w14:paraId="54EDB968" w14:textId="22B5A6E8" w:rsidR="0052790A" w:rsidRPr="00015953" w:rsidRDefault="0052790A" w:rsidP="0052790A">
            <w:pPr>
              <w:rPr>
                <w:b/>
                <w:bCs/>
                <w:lang w:val="fr-FR"/>
              </w:rPr>
            </w:pPr>
            <w:r w:rsidRPr="00015953">
              <w:rPr>
                <w:b/>
                <w:bCs/>
                <w:lang w:val="fr-FR"/>
              </w:rPr>
              <w:t>Stock</w:t>
            </w:r>
          </w:p>
        </w:tc>
        <w:tc>
          <w:tcPr>
            <w:tcW w:w="6095" w:type="dxa"/>
          </w:tcPr>
          <w:p w14:paraId="3EEEB2DB" w14:textId="401C2A41" w:rsidR="0052790A" w:rsidRPr="00015953" w:rsidRDefault="0052790A" w:rsidP="0052790A">
            <w:pPr>
              <w:rPr>
                <w:b/>
                <w:bCs/>
                <w:lang w:val="fr-FR"/>
              </w:rPr>
            </w:pPr>
            <w:proofErr w:type="spellStart"/>
            <w:r w:rsidRPr="00015953">
              <w:rPr>
                <w:b/>
                <w:bCs/>
                <w:lang w:val="fr-FR"/>
              </w:rPr>
              <w:t>Discard</w:t>
            </w:r>
            <w:proofErr w:type="spellEnd"/>
            <w:r w:rsidRPr="00015953">
              <w:rPr>
                <w:b/>
                <w:bCs/>
                <w:lang w:val="fr-FR"/>
              </w:rPr>
              <w:t xml:space="preserve"> Plan 2019</w:t>
            </w:r>
          </w:p>
        </w:tc>
        <w:tc>
          <w:tcPr>
            <w:tcW w:w="5386" w:type="dxa"/>
          </w:tcPr>
          <w:p w14:paraId="665060DC" w14:textId="548447A6" w:rsidR="0052790A" w:rsidRPr="00015953" w:rsidRDefault="003415BD" w:rsidP="0052790A">
            <w:pPr>
              <w:rPr>
                <w:b/>
                <w:bCs/>
                <w:lang w:val="fr-FR"/>
              </w:rPr>
            </w:pPr>
            <w:r w:rsidRPr="00015953">
              <w:rPr>
                <w:b/>
                <w:bCs/>
                <w:lang w:val="fr-FR"/>
              </w:rPr>
              <w:t>Conseil CC EOS</w:t>
            </w:r>
            <w:r w:rsidR="0052790A" w:rsidRPr="00015953">
              <w:rPr>
                <w:b/>
                <w:bCs/>
                <w:lang w:val="fr-FR"/>
              </w:rPr>
              <w:t xml:space="preserve"> (Choke ID 2019)</w:t>
            </w:r>
          </w:p>
        </w:tc>
      </w:tr>
      <w:tr w:rsidR="00840FD8" w:rsidRPr="00015953" w14:paraId="0B45A952" w14:textId="77777777" w:rsidTr="00DA1D90">
        <w:tc>
          <w:tcPr>
            <w:tcW w:w="1555" w:type="dxa"/>
          </w:tcPr>
          <w:p w14:paraId="0A759CC3" w14:textId="4AA95E50" w:rsidR="00840FD8" w:rsidRPr="00015953" w:rsidRDefault="003415BD" w:rsidP="00782C38">
            <w:pPr>
              <w:rPr>
                <w:b/>
                <w:bCs/>
                <w:lang w:val="fr-FR"/>
              </w:rPr>
            </w:pPr>
            <w:r w:rsidRPr="00015953">
              <w:rPr>
                <w:b/>
                <w:bCs/>
                <w:lang w:val="fr-FR"/>
              </w:rPr>
              <w:t>Merlan</w:t>
            </w:r>
            <w:r w:rsidR="00840FD8" w:rsidRPr="00015953">
              <w:rPr>
                <w:b/>
                <w:bCs/>
                <w:lang w:val="fr-FR"/>
              </w:rPr>
              <w:t xml:space="preserve"> 7b-k</w:t>
            </w:r>
          </w:p>
        </w:tc>
        <w:tc>
          <w:tcPr>
            <w:tcW w:w="6095" w:type="dxa"/>
          </w:tcPr>
          <w:p w14:paraId="5D0B9B29" w14:textId="5A8E3FE5" w:rsidR="00840FD8" w:rsidRPr="00015953" w:rsidRDefault="003415BD" w:rsidP="00782C38">
            <w:pPr>
              <w:rPr>
                <w:lang w:val="fr-FR"/>
              </w:rPr>
            </w:pPr>
            <w:r w:rsidRPr="00015953">
              <w:rPr>
                <w:lang w:val="fr-FR"/>
              </w:rPr>
              <w:t xml:space="preserve">jusqu’à un maximum de 5 % du total des captures annuelles de cette espèce effectuées par des navires utilisant des chaluts de fond et des </w:t>
            </w:r>
            <w:proofErr w:type="spellStart"/>
            <w:r w:rsidRPr="00015953">
              <w:rPr>
                <w:lang w:val="fr-FR"/>
              </w:rPr>
              <w:t>sennes</w:t>
            </w:r>
            <w:proofErr w:type="spellEnd"/>
            <w:r w:rsidRPr="00015953">
              <w:rPr>
                <w:lang w:val="fr-FR"/>
              </w:rPr>
              <w:t xml:space="preserve"> d’un maillage égal ou supérieur à 80 mm</w:t>
            </w:r>
            <w:r w:rsidRPr="00015953">
              <w:rPr>
                <w:lang w:val="fr-FR"/>
              </w:rPr>
              <w:t xml:space="preserve">, </w:t>
            </w:r>
            <w:r w:rsidRPr="00015953">
              <w:rPr>
                <w:lang w:val="fr-FR"/>
              </w:rPr>
              <w:t>des chaluts pélagiques et des chaluts à</w:t>
            </w:r>
            <w:r w:rsidRPr="00015953">
              <w:rPr>
                <w:lang w:val="fr-FR"/>
              </w:rPr>
              <w:t xml:space="preserve"> perche</w:t>
            </w:r>
            <w:r w:rsidRPr="00015953">
              <w:rPr>
                <w:lang w:val="fr-FR"/>
              </w:rPr>
              <w:t xml:space="preserve"> d’un maillage de 80 à 119 </w:t>
            </w:r>
            <w:proofErr w:type="spellStart"/>
            <w:r w:rsidRPr="00015953">
              <w:rPr>
                <w:lang w:val="fr-FR"/>
              </w:rPr>
              <w:t>mm</w:t>
            </w:r>
            <w:r w:rsidR="00840FD8" w:rsidRPr="00015953">
              <w:rPr>
                <w:lang w:val="fr-FR"/>
              </w:rPr>
              <w:t>.</w:t>
            </w:r>
            <w:proofErr w:type="spellEnd"/>
          </w:p>
        </w:tc>
        <w:tc>
          <w:tcPr>
            <w:tcW w:w="5386" w:type="dxa"/>
          </w:tcPr>
          <w:p w14:paraId="178DCF37" w14:textId="77777777" w:rsidR="002270A6" w:rsidRPr="00015953" w:rsidRDefault="002270A6" w:rsidP="009853F0">
            <w:pPr>
              <w:rPr>
                <w:lang w:val="fr-FR"/>
              </w:rPr>
            </w:pPr>
            <w:r w:rsidRPr="00015953">
              <w:rPr>
                <w:lang w:val="fr"/>
              </w:rPr>
              <w:t>L’amélioration de la sélectivité du merlan dans les pêches où les captures non désirées sont les plus élevées devrait rester une priorité.</w:t>
            </w:r>
          </w:p>
          <w:p w14:paraId="214C682F" w14:textId="3653268E" w:rsidR="00840FD8" w:rsidRPr="00015953" w:rsidRDefault="002270A6" w:rsidP="006D6B27">
            <w:pPr>
              <w:rPr>
                <w:b/>
                <w:bCs/>
                <w:lang w:val="fr-FR"/>
              </w:rPr>
            </w:pPr>
            <w:r w:rsidRPr="00015953">
              <w:rPr>
                <w:lang w:val="fr"/>
              </w:rPr>
              <w:t>L’efficacité des mesures de sélectivité introduites en 2019 devrait être surveillée en 2020.</w:t>
            </w:r>
          </w:p>
        </w:tc>
      </w:tr>
      <w:tr w:rsidR="00840FD8" w:rsidRPr="00015953" w14:paraId="333E1734" w14:textId="77777777" w:rsidTr="00DA1D90">
        <w:tc>
          <w:tcPr>
            <w:tcW w:w="1555" w:type="dxa"/>
          </w:tcPr>
          <w:p w14:paraId="7EBC4FF0" w14:textId="1B6D9F34" w:rsidR="00840FD8" w:rsidRPr="00015953" w:rsidRDefault="00840FD8" w:rsidP="00782C38">
            <w:pPr>
              <w:rPr>
                <w:b/>
                <w:bCs/>
                <w:lang w:val="fr-FR"/>
              </w:rPr>
            </w:pPr>
            <w:r w:rsidRPr="00015953">
              <w:rPr>
                <w:b/>
                <w:bCs/>
                <w:lang w:val="fr-FR"/>
              </w:rPr>
              <w:lastRenderedPageBreak/>
              <w:t>Sole 7d-g</w:t>
            </w:r>
          </w:p>
        </w:tc>
        <w:tc>
          <w:tcPr>
            <w:tcW w:w="6095" w:type="dxa"/>
          </w:tcPr>
          <w:p w14:paraId="1953B149" w14:textId="4CB06E91" w:rsidR="00840FD8" w:rsidRPr="00015953" w:rsidRDefault="003415BD" w:rsidP="00782C38">
            <w:pPr>
              <w:rPr>
                <w:lang w:val="fr-FR"/>
              </w:rPr>
            </w:pPr>
            <w:r w:rsidRPr="00015953">
              <w:rPr>
                <w:lang w:val="fr-FR"/>
              </w:rPr>
              <w:t>jusqu’à un maximum de 3 % du total des captures annuelles de cette espèce effectuées par des navires utilisant des trémails et des filets maillants</w:t>
            </w:r>
          </w:p>
        </w:tc>
        <w:tc>
          <w:tcPr>
            <w:tcW w:w="5386" w:type="dxa"/>
          </w:tcPr>
          <w:p w14:paraId="0E18AF5B" w14:textId="77777777" w:rsidR="002270A6" w:rsidRPr="00015953" w:rsidRDefault="002270A6" w:rsidP="00FA6B04">
            <w:pPr>
              <w:rPr>
                <w:lang w:val="fr-FR"/>
              </w:rPr>
            </w:pPr>
            <w:r w:rsidRPr="00015953">
              <w:rPr>
                <w:lang w:val="fr"/>
              </w:rPr>
              <w:t>Donner la priorité au travail de survie élevé dans les pêches dans 7f,g;</w:t>
            </w:r>
          </w:p>
          <w:p w14:paraId="3AC5042D" w14:textId="640BF5D2" w:rsidR="00840FD8" w:rsidRPr="00015953" w:rsidRDefault="002270A6" w:rsidP="00E9119A">
            <w:pPr>
              <w:rPr>
                <w:b/>
                <w:bCs/>
                <w:lang w:val="fr-FR"/>
              </w:rPr>
            </w:pPr>
            <w:r w:rsidRPr="00015953">
              <w:rPr>
                <w:lang w:val="fr"/>
              </w:rPr>
              <w:t>Surveiller l’efficacité des mesures de sélectivité introduites.</w:t>
            </w:r>
          </w:p>
        </w:tc>
      </w:tr>
      <w:tr w:rsidR="00840FD8" w:rsidRPr="00015953" w14:paraId="2313264B" w14:textId="77777777" w:rsidTr="00DA1D90">
        <w:tc>
          <w:tcPr>
            <w:tcW w:w="1555" w:type="dxa"/>
          </w:tcPr>
          <w:p w14:paraId="20E03E07" w14:textId="0030A202" w:rsidR="00840FD8" w:rsidRPr="00015953" w:rsidRDefault="00840FD8" w:rsidP="00782C38">
            <w:pPr>
              <w:rPr>
                <w:b/>
                <w:bCs/>
                <w:lang w:val="fr-FR"/>
              </w:rPr>
            </w:pPr>
            <w:r w:rsidRPr="00015953">
              <w:rPr>
                <w:b/>
                <w:bCs/>
                <w:lang w:val="fr-FR"/>
              </w:rPr>
              <w:t>Sole 7d-g</w:t>
            </w:r>
          </w:p>
        </w:tc>
        <w:tc>
          <w:tcPr>
            <w:tcW w:w="6095" w:type="dxa"/>
          </w:tcPr>
          <w:p w14:paraId="55B85621" w14:textId="46DE595F" w:rsidR="00840FD8" w:rsidRPr="00015953" w:rsidRDefault="003415BD" w:rsidP="00782C38">
            <w:pPr>
              <w:rPr>
                <w:lang w:val="fr-FR"/>
              </w:rPr>
            </w:pPr>
            <w:r w:rsidRPr="00015953">
              <w:rPr>
                <w:lang w:val="fr-FR"/>
              </w:rPr>
              <w:t>jusqu’à un maximum de 3 % du total des captures annuelles de cette espèce effectuées par des navires utilisant des engins d’un maillage de 80 à 119 mm, équipés d’un panneau flamand</w:t>
            </w:r>
            <w:r w:rsidR="00840FD8" w:rsidRPr="00015953">
              <w:rPr>
                <w:lang w:val="fr-FR"/>
              </w:rPr>
              <w:t>.</w:t>
            </w:r>
          </w:p>
        </w:tc>
        <w:tc>
          <w:tcPr>
            <w:tcW w:w="5386" w:type="dxa"/>
          </w:tcPr>
          <w:p w14:paraId="49B8726E" w14:textId="77777777" w:rsidR="002270A6" w:rsidRPr="00015953" w:rsidRDefault="002270A6" w:rsidP="00FA6B04">
            <w:pPr>
              <w:rPr>
                <w:lang w:val="fr-FR"/>
              </w:rPr>
            </w:pPr>
            <w:r w:rsidRPr="00015953">
              <w:rPr>
                <w:lang w:val="fr"/>
              </w:rPr>
              <w:t>Donner la priorité au travail de survie élevé dans les pêches dans 7f,g;</w:t>
            </w:r>
          </w:p>
          <w:p w14:paraId="1BCD03B0" w14:textId="440AB28A" w:rsidR="00840FD8" w:rsidRPr="00015953" w:rsidRDefault="002270A6" w:rsidP="00E9119A">
            <w:pPr>
              <w:rPr>
                <w:b/>
                <w:bCs/>
                <w:lang w:val="fr-FR"/>
              </w:rPr>
            </w:pPr>
            <w:r w:rsidRPr="00015953">
              <w:rPr>
                <w:lang w:val="fr"/>
              </w:rPr>
              <w:t>Surveiller l’efficacité des mesures de sélectivité introduites.</w:t>
            </w:r>
          </w:p>
        </w:tc>
      </w:tr>
      <w:tr w:rsidR="00840FD8" w:rsidRPr="00015953" w14:paraId="722AD5AC" w14:textId="77777777" w:rsidTr="00DA1D90">
        <w:tc>
          <w:tcPr>
            <w:tcW w:w="1555" w:type="dxa"/>
          </w:tcPr>
          <w:p w14:paraId="3FBC90D8" w14:textId="473EF1E4" w:rsidR="00840FD8" w:rsidRPr="00015953" w:rsidRDefault="00015953" w:rsidP="00782C38">
            <w:pPr>
              <w:rPr>
                <w:b/>
                <w:bCs/>
                <w:lang w:val="fr-FR"/>
              </w:rPr>
            </w:pPr>
            <w:r w:rsidRPr="00015953">
              <w:rPr>
                <w:b/>
                <w:bCs/>
                <w:lang w:val="fr-FR"/>
              </w:rPr>
              <w:t>M</w:t>
            </w:r>
            <w:r w:rsidRPr="00015953">
              <w:rPr>
                <w:b/>
                <w:bCs/>
                <w:lang w:val="fr-FR"/>
              </w:rPr>
              <w:t>aquereau</w:t>
            </w:r>
            <w:r w:rsidR="00DA1D90" w:rsidRPr="00015953">
              <w:rPr>
                <w:b/>
                <w:bCs/>
                <w:lang w:val="fr-FR"/>
              </w:rPr>
              <w:t xml:space="preserve"> 6 and 7b-k</w:t>
            </w:r>
          </w:p>
        </w:tc>
        <w:tc>
          <w:tcPr>
            <w:tcW w:w="6095" w:type="dxa"/>
          </w:tcPr>
          <w:p w14:paraId="400D7547" w14:textId="3AE3361D" w:rsidR="00840FD8" w:rsidRPr="00015953" w:rsidRDefault="00015953" w:rsidP="00782C38">
            <w:pPr>
              <w:rPr>
                <w:lang w:val="fr-FR"/>
              </w:rPr>
            </w:pPr>
            <w:r>
              <w:rPr>
                <w:lang w:val="fr-FR"/>
              </w:rPr>
              <w:t>j</w:t>
            </w:r>
            <w:r w:rsidRPr="00015953">
              <w:rPr>
                <w:lang w:val="fr-FR"/>
              </w:rPr>
              <w:t xml:space="preserve">usqu’à un maximum de 7 %, en 2020, du total des captures annuelles de cette espèce effectuées, dans des pêcheries mixtes démersales, par des navires utilisant des chaluts de fond, des </w:t>
            </w:r>
            <w:proofErr w:type="spellStart"/>
            <w:r w:rsidRPr="00015953">
              <w:rPr>
                <w:lang w:val="fr-FR"/>
              </w:rPr>
              <w:t>sennes</w:t>
            </w:r>
            <w:proofErr w:type="spellEnd"/>
            <w:r w:rsidRPr="00015953">
              <w:rPr>
                <w:lang w:val="fr-FR"/>
              </w:rPr>
              <w:t xml:space="preserve"> et des chaluts à perche</w:t>
            </w:r>
            <w:r w:rsidR="00DA1D90" w:rsidRPr="00015953">
              <w:rPr>
                <w:lang w:val="fr-FR"/>
              </w:rPr>
              <w:t>.</w:t>
            </w:r>
          </w:p>
        </w:tc>
        <w:tc>
          <w:tcPr>
            <w:tcW w:w="5386" w:type="dxa"/>
          </w:tcPr>
          <w:p w14:paraId="5F58F138" w14:textId="77777777" w:rsidR="00840FD8" w:rsidRPr="00015953" w:rsidRDefault="00840FD8" w:rsidP="00782C38">
            <w:pPr>
              <w:rPr>
                <w:b/>
                <w:bCs/>
                <w:lang w:val="fr-FR"/>
              </w:rPr>
            </w:pPr>
          </w:p>
        </w:tc>
      </w:tr>
      <w:tr w:rsidR="00840FD8" w:rsidRPr="00015953" w14:paraId="2CAE6BA4" w14:textId="77777777" w:rsidTr="00DA1D90">
        <w:tc>
          <w:tcPr>
            <w:tcW w:w="1555" w:type="dxa"/>
          </w:tcPr>
          <w:p w14:paraId="7CA09521" w14:textId="610FC587" w:rsidR="00840FD8" w:rsidRPr="00015953" w:rsidRDefault="00015953" w:rsidP="00782C38">
            <w:pPr>
              <w:rPr>
                <w:b/>
                <w:bCs/>
                <w:lang w:val="fr-FR"/>
              </w:rPr>
            </w:pPr>
            <w:r w:rsidRPr="00015953">
              <w:rPr>
                <w:b/>
                <w:bCs/>
                <w:lang w:val="fr-FR"/>
              </w:rPr>
              <w:t>C</w:t>
            </w:r>
            <w:r w:rsidRPr="00015953">
              <w:rPr>
                <w:b/>
                <w:bCs/>
                <w:lang w:val="fr-FR"/>
              </w:rPr>
              <w:t>hinchard</w:t>
            </w:r>
            <w:r w:rsidRPr="00015953">
              <w:rPr>
                <w:b/>
                <w:bCs/>
                <w:lang w:val="fr-FR"/>
              </w:rPr>
              <w:t xml:space="preserve"> </w:t>
            </w:r>
            <w:r w:rsidR="00DA1D90" w:rsidRPr="00015953">
              <w:rPr>
                <w:b/>
                <w:bCs/>
                <w:lang w:val="fr-FR"/>
              </w:rPr>
              <w:t xml:space="preserve">6 </w:t>
            </w:r>
            <w:r w:rsidRPr="00015953">
              <w:rPr>
                <w:b/>
                <w:bCs/>
                <w:lang w:val="fr-FR"/>
              </w:rPr>
              <w:t>et</w:t>
            </w:r>
            <w:r w:rsidR="00DA1D90" w:rsidRPr="00015953">
              <w:rPr>
                <w:b/>
                <w:bCs/>
                <w:lang w:val="fr-FR"/>
              </w:rPr>
              <w:t xml:space="preserve"> 7b-k</w:t>
            </w:r>
          </w:p>
        </w:tc>
        <w:tc>
          <w:tcPr>
            <w:tcW w:w="6095" w:type="dxa"/>
          </w:tcPr>
          <w:p w14:paraId="37861C68" w14:textId="399FD612" w:rsidR="00840FD8" w:rsidRPr="00015953" w:rsidRDefault="00015953" w:rsidP="00782C38">
            <w:pPr>
              <w:rPr>
                <w:lang w:val="fr-FR"/>
              </w:rPr>
            </w:pPr>
            <w:r>
              <w:rPr>
                <w:lang w:val="fr-FR"/>
              </w:rPr>
              <w:t>j</w:t>
            </w:r>
            <w:r w:rsidRPr="00015953">
              <w:rPr>
                <w:lang w:val="fr-FR"/>
              </w:rPr>
              <w:t xml:space="preserve">usqu’à un maximum de 7 %, en 2020, du total des captures annuelles de cette espèce effectuées, dans des pêcheries mixtes démersales, par des navires utilisant des chaluts de fond, des </w:t>
            </w:r>
            <w:proofErr w:type="spellStart"/>
            <w:r w:rsidRPr="00015953">
              <w:rPr>
                <w:lang w:val="fr-FR"/>
              </w:rPr>
              <w:t>sennes</w:t>
            </w:r>
            <w:proofErr w:type="spellEnd"/>
            <w:r w:rsidRPr="00015953">
              <w:rPr>
                <w:lang w:val="fr-FR"/>
              </w:rPr>
              <w:t xml:space="preserve"> et des chaluts à perche</w:t>
            </w:r>
            <w:r w:rsidR="00DA1D90" w:rsidRPr="00015953">
              <w:rPr>
                <w:lang w:val="fr-FR"/>
              </w:rPr>
              <w:t>.</w:t>
            </w:r>
          </w:p>
        </w:tc>
        <w:tc>
          <w:tcPr>
            <w:tcW w:w="5386" w:type="dxa"/>
          </w:tcPr>
          <w:p w14:paraId="2EFCA0B7" w14:textId="77777777" w:rsidR="00840FD8" w:rsidRPr="00015953" w:rsidRDefault="00840FD8" w:rsidP="00782C38">
            <w:pPr>
              <w:rPr>
                <w:b/>
                <w:bCs/>
                <w:lang w:val="fr-FR"/>
              </w:rPr>
            </w:pPr>
          </w:p>
        </w:tc>
      </w:tr>
      <w:tr w:rsidR="00782C38" w:rsidRPr="00015953" w14:paraId="4AE3E91F" w14:textId="77777777" w:rsidTr="00DA1D90">
        <w:tc>
          <w:tcPr>
            <w:tcW w:w="1555" w:type="dxa"/>
          </w:tcPr>
          <w:p w14:paraId="1723313C" w14:textId="2B4103DF" w:rsidR="00782C38" w:rsidRPr="00015953" w:rsidRDefault="00015953" w:rsidP="00782C38">
            <w:pPr>
              <w:rPr>
                <w:b/>
                <w:bCs/>
                <w:lang w:val="fr-FR"/>
              </w:rPr>
            </w:pPr>
            <w:r w:rsidRPr="00015953">
              <w:rPr>
                <w:b/>
                <w:bCs/>
                <w:lang w:val="fr-FR"/>
              </w:rPr>
              <w:t>Eglefin</w:t>
            </w:r>
            <w:r w:rsidR="00782C38" w:rsidRPr="00015953">
              <w:rPr>
                <w:b/>
                <w:bCs/>
                <w:lang w:val="fr-FR"/>
              </w:rPr>
              <w:t xml:space="preserve"> 6a</w:t>
            </w:r>
            <w:r w:rsidR="0052790A" w:rsidRPr="00015953">
              <w:rPr>
                <w:b/>
                <w:bCs/>
                <w:lang w:val="fr-FR"/>
              </w:rPr>
              <w:t>*</w:t>
            </w:r>
          </w:p>
        </w:tc>
        <w:tc>
          <w:tcPr>
            <w:tcW w:w="6095" w:type="dxa"/>
          </w:tcPr>
          <w:p w14:paraId="04512F78" w14:textId="4C19C69D" w:rsidR="00E75F6B" w:rsidRPr="00015953" w:rsidRDefault="00015953" w:rsidP="00782C38">
            <w:pPr>
              <w:rPr>
                <w:lang w:val="fr-FR"/>
              </w:rPr>
            </w:pPr>
            <w:r w:rsidRPr="00015953">
              <w:rPr>
                <w:lang w:val="fr-FR"/>
              </w:rPr>
              <w:t>pour l’églefin de taille inférieure à la taille minimale de référence de conservation, jusqu’à un maximum de 3 %, en 2020, du total des captures annuelles de cette espèce effectuées par des navires utilisant des chaluts de fond d’un maillage ne dépassant pas 119 mm dans la pêcherie de langoustine</w:t>
            </w:r>
            <w:r w:rsidRPr="00015953">
              <w:rPr>
                <w:lang w:val="fr-FR"/>
              </w:rPr>
              <w:t>.</w:t>
            </w:r>
          </w:p>
          <w:p w14:paraId="13E55938" w14:textId="77777777" w:rsidR="00015953" w:rsidRPr="00015953" w:rsidRDefault="00015953" w:rsidP="00782C38">
            <w:pPr>
              <w:rPr>
                <w:lang w:val="fr-FR"/>
              </w:rPr>
            </w:pPr>
          </w:p>
          <w:p w14:paraId="3C24859E" w14:textId="0BC43477" w:rsidR="00782C38" w:rsidRPr="00015953" w:rsidRDefault="002270A6" w:rsidP="00782C38">
            <w:pPr>
              <w:rPr>
                <w:b/>
                <w:bCs/>
                <w:lang w:val="fr-FR"/>
              </w:rPr>
            </w:pPr>
            <w:r w:rsidRPr="00015953">
              <w:rPr>
                <w:lang w:val="fr"/>
              </w:rPr>
              <w:t>Le STECF a conclu que la justification de l’analyse est fondée sur une analyse du coût disproportionné de la manipulation des captures indésirables. Le STECF note que les coûts semblent raisonnables, mais il n’existe aucun moyen objectif d’évaluer s’ils sont réalistes ou s’ils peuvent être considérés comme disproportionnés.</w:t>
            </w:r>
          </w:p>
        </w:tc>
        <w:tc>
          <w:tcPr>
            <w:tcW w:w="5386" w:type="dxa"/>
          </w:tcPr>
          <w:p w14:paraId="63C2B28B" w14:textId="77777777" w:rsidR="002270A6" w:rsidRPr="00015953" w:rsidRDefault="002270A6" w:rsidP="006F0E23">
            <w:pPr>
              <w:rPr>
                <w:lang w:val="fr-FR"/>
              </w:rPr>
            </w:pPr>
            <w:r w:rsidRPr="00015953">
              <w:rPr>
                <w:lang w:val="fr"/>
              </w:rPr>
              <w:t>Accélérer l’introduction de mesures techniques et surveiller l’efficacité des mesures introduites.</w:t>
            </w:r>
          </w:p>
          <w:p w14:paraId="6026C86D" w14:textId="3F48624D" w:rsidR="006D6B27" w:rsidRPr="00015953" w:rsidRDefault="002270A6" w:rsidP="00782C38">
            <w:pPr>
              <w:rPr>
                <w:b/>
                <w:bCs/>
                <w:lang w:val="fr-FR"/>
              </w:rPr>
            </w:pPr>
            <w:r w:rsidRPr="00015953">
              <w:rPr>
                <w:lang w:val="fr"/>
              </w:rPr>
              <w:t>Explorez les fermetures spatiales/temporelles.</w:t>
            </w:r>
          </w:p>
        </w:tc>
      </w:tr>
      <w:tr w:rsidR="00782C38" w:rsidRPr="00015953" w14:paraId="324BCC38" w14:textId="77777777" w:rsidTr="00DA1D90">
        <w:tc>
          <w:tcPr>
            <w:tcW w:w="1555" w:type="dxa"/>
          </w:tcPr>
          <w:p w14:paraId="247316D7" w14:textId="3AA3D9B1" w:rsidR="00782C38" w:rsidRPr="00015953" w:rsidRDefault="00015953" w:rsidP="001809C0">
            <w:pPr>
              <w:rPr>
                <w:b/>
                <w:bCs/>
                <w:lang w:val="fr-FR"/>
              </w:rPr>
            </w:pPr>
            <w:r w:rsidRPr="00015953">
              <w:rPr>
                <w:b/>
                <w:bCs/>
                <w:lang w:val="fr-FR"/>
              </w:rPr>
              <w:t>Eglefin</w:t>
            </w:r>
            <w:r w:rsidR="00AF7FFA" w:rsidRPr="00015953">
              <w:rPr>
                <w:b/>
                <w:bCs/>
                <w:lang w:val="fr-FR"/>
              </w:rPr>
              <w:t xml:space="preserve"> 7b-c </w:t>
            </w:r>
            <w:r w:rsidRPr="00015953">
              <w:rPr>
                <w:b/>
                <w:bCs/>
                <w:lang w:val="fr-FR"/>
              </w:rPr>
              <w:t>et</w:t>
            </w:r>
            <w:r w:rsidR="00AF7FFA" w:rsidRPr="00015953">
              <w:rPr>
                <w:b/>
                <w:bCs/>
                <w:lang w:val="fr-FR"/>
              </w:rPr>
              <w:t xml:space="preserve"> 7e-k</w:t>
            </w:r>
            <w:r w:rsidR="0052790A" w:rsidRPr="00015953">
              <w:rPr>
                <w:b/>
                <w:bCs/>
                <w:lang w:val="fr-FR"/>
              </w:rPr>
              <w:t>*</w:t>
            </w:r>
          </w:p>
        </w:tc>
        <w:tc>
          <w:tcPr>
            <w:tcW w:w="6095" w:type="dxa"/>
          </w:tcPr>
          <w:p w14:paraId="374D0C56" w14:textId="1A6D4F6A" w:rsidR="00E75F6B" w:rsidRPr="00015953" w:rsidRDefault="00015953" w:rsidP="001809C0">
            <w:pPr>
              <w:rPr>
                <w:lang w:val="fr-FR"/>
              </w:rPr>
            </w:pPr>
            <w:r w:rsidRPr="00015953">
              <w:rPr>
                <w:lang w:val="fr-FR"/>
              </w:rPr>
              <w:t xml:space="preserve">jusqu’à un maximum de 5 %, en 2020, du total des captures annuelles de cette espèce effectuées par des navires utilisant des chaluts de fond, des </w:t>
            </w:r>
            <w:proofErr w:type="spellStart"/>
            <w:r w:rsidRPr="00015953">
              <w:rPr>
                <w:lang w:val="fr-FR"/>
              </w:rPr>
              <w:t>sennes</w:t>
            </w:r>
            <w:proofErr w:type="spellEnd"/>
            <w:r w:rsidRPr="00015953">
              <w:rPr>
                <w:lang w:val="fr-FR"/>
              </w:rPr>
              <w:t xml:space="preserve"> et des chaluts à perche d’un maillage égal ou supérieur à 80 </w:t>
            </w:r>
            <w:proofErr w:type="spellStart"/>
            <w:r w:rsidRPr="00015953">
              <w:rPr>
                <w:lang w:val="fr-FR"/>
              </w:rPr>
              <w:t>mm</w:t>
            </w:r>
            <w:r w:rsidRPr="00015953">
              <w:rPr>
                <w:lang w:val="fr-FR"/>
              </w:rPr>
              <w:t>.</w:t>
            </w:r>
            <w:proofErr w:type="spellEnd"/>
          </w:p>
          <w:p w14:paraId="6E8C5BDD" w14:textId="77777777" w:rsidR="00015953" w:rsidRPr="00015953" w:rsidRDefault="00015953" w:rsidP="001809C0">
            <w:pPr>
              <w:rPr>
                <w:lang w:val="fr-FR"/>
              </w:rPr>
            </w:pPr>
          </w:p>
          <w:p w14:paraId="6E400201" w14:textId="25EB92CD" w:rsidR="00E75F6B" w:rsidRPr="00015953" w:rsidRDefault="002270A6" w:rsidP="001809C0">
            <w:pPr>
              <w:rPr>
                <w:lang w:val="fr-FR"/>
              </w:rPr>
            </w:pPr>
            <w:r w:rsidRPr="00015953">
              <w:rPr>
                <w:lang w:val="fr"/>
              </w:rPr>
              <w:lastRenderedPageBreak/>
              <w:t>Le STECF a conclu que l’information fournie montre que l’amélioration de la sélectivité de l’</w:t>
            </w:r>
            <w:r>
              <w:rPr>
                <w:lang w:val="fr"/>
              </w:rPr>
              <w:t>é</w:t>
            </w:r>
            <w:r w:rsidRPr="00015953">
              <w:rPr>
                <w:lang w:val="fr"/>
              </w:rPr>
              <w:t>glefin est difficile à réaliser sans des pertes substantielles à court terme dans les captures commercialisables. Le STECF note que des mesures techniques spécifiques dans la zone de protection de la mer celtique devraient réduire les captures non désirées d’</w:t>
            </w:r>
            <w:r>
              <w:rPr>
                <w:lang w:val="fr"/>
              </w:rPr>
              <w:t>é</w:t>
            </w:r>
            <w:r w:rsidRPr="00015953">
              <w:rPr>
                <w:lang w:val="fr"/>
              </w:rPr>
              <w:t>glefin dans une moindre mesure, mais il est trop tôt pour évaluer les réalisations possibles.</w:t>
            </w:r>
          </w:p>
        </w:tc>
        <w:tc>
          <w:tcPr>
            <w:tcW w:w="5386" w:type="dxa"/>
          </w:tcPr>
          <w:p w14:paraId="7687EA80" w14:textId="178401F6" w:rsidR="002270A6" w:rsidRPr="00015953" w:rsidRDefault="002270A6" w:rsidP="001D60B1">
            <w:pPr>
              <w:rPr>
                <w:lang w:val="fr-FR"/>
              </w:rPr>
            </w:pPr>
            <w:r w:rsidRPr="00015953">
              <w:rPr>
                <w:lang w:val="fr"/>
              </w:rPr>
              <w:lastRenderedPageBreak/>
              <w:t>L’amélioration de la sélectivité de l’</w:t>
            </w:r>
            <w:proofErr w:type="spellStart"/>
            <w:r>
              <w:rPr>
                <w:lang w:val="fr"/>
              </w:rPr>
              <w:t>e</w:t>
            </w:r>
            <w:r w:rsidRPr="00015953">
              <w:rPr>
                <w:lang w:val="fr"/>
              </w:rPr>
              <w:t>glefin</w:t>
            </w:r>
            <w:proofErr w:type="spellEnd"/>
            <w:r w:rsidRPr="00015953">
              <w:rPr>
                <w:lang w:val="fr"/>
              </w:rPr>
              <w:t xml:space="preserve"> dans les pêches où les captures non désirées sont les plus élevées devrait rester une priorité.</w:t>
            </w:r>
          </w:p>
          <w:p w14:paraId="2899E0A4" w14:textId="573C2131" w:rsidR="00782C38" w:rsidRPr="00015953" w:rsidRDefault="002270A6" w:rsidP="006D6B27">
            <w:pPr>
              <w:rPr>
                <w:lang w:val="fr-FR"/>
              </w:rPr>
            </w:pPr>
            <w:r w:rsidRPr="00015953">
              <w:rPr>
                <w:lang w:val="fr"/>
              </w:rPr>
              <w:t>L’efficacité des mesures de sélectivité introduites en 2019 devrait être surveillée en 2020.</w:t>
            </w:r>
          </w:p>
        </w:tc>
      </w:tr>
      <w:tr w:rsidR="00782C38" w:rsidRPr="00015953" w14:paraId="30AF9A27" w14:textId="77777777" w:rsidTr="00DA1D90">
        <w:tc>
          <w:tcPr>
            <w:tcW w:w="1555" w:type="dxa"/>
          </w:tcPr>
          <w:p w14:paraId="20E6559D" w14:textId="32FC00F0" w:rsidR="00782C38" w:rsidRPr="00015953" w:rsidRDefault="00AF7FFA" w:rsidP="001809C0">
            <w:pPr>
              <w:rPr>
                <w:b/>
                <w:bCs/>
                <w:lang w:val="fr-FR"/>
              </w:rPr>
            </w:pPr>
            <w:r w:rsidRPr="00015953">
              <w:rPr>
                <w:b/>
                <w:bCs/>
                <w:lang w:val="fr-FR"/>
              </w:rPr>
              <w:t>Sole 7a</w:t>
            </w:r>
            <w:r w:rsidR="003C7DB9" w:rsidRPr="00015953">
              <w:rPr>
                <w:b/>
                <w:bCs/>
                <w:lang w:val="fr-FR"/>
              </w:rPr>
              <w:t xml:space="preserve">, 7j </w:t>
            </w:r>
            <w:r w:rsidR="002270A6">
              <w:rPr>
                <w:b/>
                <w:bCs/>
                <w:lang w:val="fr-FR"/>
              </w:rPr>
              <w:t>et</w:t>
            </w:r>
            <w:r w:rsidR="003C7DB9" w:rsidRPr="00015953">
              <w:rPr>
                <w:b/>
                <w:bCs/>
                <w:lang w:val="fr-FR"/>
              </w:rPr>
              <w:t xml:space="preserve"> 7k</w:t>
            </w:r>
            <w:r w:rsidR="0052790A" w:rsidRPr="00015953">
              <w:rPr>
                <w:b/>
                <w:bCs/>
                <w:lang w:val="fr-FR"/>
              </w:rPr>
              <w:t>*</w:t>
            </w:r>
          </w:p>
        </w:tc>
        <w:tc>
          <w:tcPr>
            <w:tcW w:w="6095" w:type="dxa"/>
          </w:tcPr>
          <w:p w14:paraId="70D56BCF" w14:textId="596B8D1A" w:rsidR="00E75F6B" w:rsidRDefault="003415BD" w:rsidP="001809C0">
            <w:pPr>
              <w:rPr>
                <w:lang w:val="fr-FR"/>
              </w:rPr>
            </w:pPr>
            <w:r w:rsidRPr="00015953">
              <w:rPr>
                <w:lang w:val="fr-FR"/>
              </w:rPr>
              <w:t>jusqu’à un maximum de 3 %, en 2020, du total des captures annuelles de cette espèce effectuées par des navires utilisant des chaluts à perche d’un maillage de 80 à 119 mm</w:t>
            </w:r>
            <w:r w:rsidRPr="00015953">
              <w:rPr>
                <w:lang w:val="fr-FR"/>
              </w:rPr>
              <w:t xml:space="preserve">, </w:t>
            </w:r>
            <w:r w:rsidRPr="00015953">
              <w:rPr>
                <w:lang w:val="fr-FR"/>
              </w:rPr>
              <w:t>à sélectivité améliorée (panneau flamand)</w:t>
            </w:r>
            <w:r w:rsidRPr="00015953">
              <w:rPr>
                <w:lang w:val="fr-FR"/>
              </w:rPr>
              <w:t>.</w:t>
            </w:r>
          </w:p>
          <w:p w14:paraId="0E10F4FE" w14:textId="77777777" w:rsidR="002270A6" w:rsidRPr="00015953" w:rsidRDefault="002270A6" w:rsidP="001809C0">
            <w:pPr>
              <w:rPr>
                <w:lang w:val="fr-FR"/>
              </w:rPr>
            </w:pPr>
          </w:p>
          <w:p w14:paraId="59547A1C" w14:textId="67EDF11A" w:rsidR="002270A6" w:rsidRPr="00015953" w:rsidRDefault="002270A6" w:rsidP="00C3511E">
            <w:pPr>
              <w:rPr>
                <w:lang w:val="fr-FR"/>
              </w:rPr>
            </w:pPr>
            <w:r w:rsidRPr="00015953">
              <w:rPr>
                <w:lang w:val="fr"/>
              </w:rPr>
              <w:t>Exemption existante, mais révisée en augmentant la portée pour couvrir les divisions ICES 7a, 7j et 7k. Les nouvelles informations fournies se limitent à une description du nombre de chaluts à p</w:t>
            </w:r>
            <w:r>
              <w:rPr>
                <w:lang w:val="fr"/>
              </w:rPr>
              <w:t>erche</w:t>
            </w:r>
            <w:r w:rsidRPr="00015953">
              <w:rPr>
                <w:lang w:val="fr"/>
              </w:rPr>
              <w:t xml:space="preserve"> belges et irlandaises impliqués dans la pêche en 7a, j, k en 2016-2018 et de leurs prises associées. Il n’est pas clair si d’autres États membres ont des navires opérant dans la pêche. La justification de l’exemption est la même que l’exemption de minimis existante pour les chaluts à </w:t>
            </w:r>
            <w:r>
              <w:rPr>
                <w:lang w:val="fr"/>
              </w:rPr>
              <w:t>perche</w:t>
            </w:r>
            <w:r w:rsidRPr="00015953">
              <w:rPr>
                <w:lang w:val="fr"/>
              </w:rPr>
              <w:t xml:space="preserve"> dans la Manche (7d, 7e) et la mer celtique (7f, 7g, 7h). Il est basé sur la sélectivité s’étant améliorée grâce à l’introduction de modifications de vitesses. Le de minimis est nécessaire pour couvrir les captures résiduelles non désirées. On suppose que les pêcheries visées par l’exemption existante sont les mêmes et que l’équipement sélectif sera aussi efficace pour réduire les captures non désirées de sole dans les zones proposées à inclure. Cependant, aucune information n’a été fournie à cet effet.</w:t>
            </w:r>
          </w:p>
          <w:p w14:paraId="3F6F36A3" w14:textId="5C3B7A73" w:rsidR="00E75F6B" w:rsidRPr="00015953" w:rsidRDefault="00E75F6B" w:rsidP="001809C0">
            <w:pPr>
              <w:rPr>
                <w:lang w:val="fr-FR"/>
              </w:rPr>
            </w:pPr>
          </w:p>
        </w:tc>
        <w:tc>
          <w:tcPr>
            <w:tcW w:w="5386" w:type="dxa"/>
          </w:tcPr>
          <w:p w14:paraId="288FD373" w14:textId="629F77C9" w:rsidR="00782C38" w:rsidRPr="00015953" w:rsidRDefault="002270A6" w:rsidP="001809C0">
            <w:pPr>
              <w:rPr>
                <w:lang w:val="fr-FR"/>
              </w:rPr>
            </w:pPr>
            <w:r w:rsidRPr="00015953">
              <w:rPr>
                <w:lang w:val="fr"/>
              </w:rPr>
              <w:t>Prioriser les expériences de survie dans la pêche au chalut en 7h,j,k.</w:t>
            </w:r>
          </w:p>
        </w:tc>
      </w:tr>
      <w:tr w:rsidR="00782C38" w:rsidRPr="00015953" w14:paraId="41B6C8CA" w14:textId="77777777" w:rsidTr="00DA1D90">
        <w:tc>
          <w:tcPr>
            <w:tcW w:w="1555" w:type="dxa"/>
          </w:tcPr>
          <w:p w14:paraId="38356251" w14:textId="00D25B33" w:rsidR="00782C38" w:rsidRPr="00015953" w:rsidRDefault="00015953" w:rsidP="001809C0">
            <w:pPr>
              <w:rPr>
                <w:b/>
                <w:bCs/>
                <w:lang w:val="fr-FR"/>
              </w:rPr>
            </w:pPr>
            <w:r w:rsidRPr="00015953">
              <w:rPr>
                <w:b/>
                <w:bCs/>
                <w:lang w:val="fr-FR"/>
              </w:rPr>
              <w:t>Cardine</w:t>
            </w:r>
            <w:r w:rsidR="00AF7FFA" w:rsidRPr="00015953">
              <w:rPr>
                <w:b/>
                <w:bCs/>
                <w:lang w:val="fr-FR"/>
              </w:rPr>
              <w:t xml:space="preserve"> 7</w:t>
            </w:r>
            <w:r w:rsidR="0052790A" w:rsidRPr="00015953">
              <w:rPr>
                <w:b/>
                <w:bCs/>
                <w:lang w:val="fr-FR"/>
              </w:rPr>
              <w:t>*</w:t>
            </w:r>
          </w:p>
        </w:tc>
        <w:tc>
          <w:tcPr>
            <w:tcW w:w="6095" w:type="dxa"/>
          </w:tcPr>
          <w:p w14:paraId="284911FF" w14:textId="1D8541ED" w:rsidR="00782C38" w:rsidRPr="00015953" w:rsidRDefault="00015953" w:rsidP="001809C0">
            <w:pPr>
              <w:rPr>
                <w:lang w:val="fr-FR"/>
              </w:rPr>
            </w:pPr>
            <w:r w:rsidRPr="00015953">
              <w:rPr>
                <w:lang w:val="fr-FR"/>
              </w:rPr>
              <w:t xml:space="preserve">pour les </w:t>
            </w:r>
            <w:proofErr w:type="spellStart"/>
            <w:r w:rsidRPr="00015953">
              <w:rPr>
                <w:lang w:val="fr-FR"/>
              </w:rPr>
              <w:t>cardines</w:t>
            </w:r>
            <w:proofErr w:type="spellEnd"/>
            <w:r w:rsidRPr="00015953">
              <w:rPr>
                <w:lang w:val="fr-FR"/>
              </w:rPr>
              <w:t xml:space="preserve"> de taille inférieure à la TMRC, jusqu’à un maximum de 5 %, en 2020, du total des captures annuelles de ces espèces effectuées par des navires utilisant des chaluts de fond </w:t>
            </w:r>
            <w:r w:rsidRPr="00015953">
              <w:rPr>
                <w:lang w:val="fr-FR"/>
              </w:rPr>
              <w:lastRenderedPageBreak/>
              <w:t>d’un maillage de 70 à 99 mm et des chaluts à perche</w:t>
            </w:r>
            <w:r w:rsidRPr="00015953">
              <w:rPr>
                <w:lang w:val="fr-FR"/>
              </w:rPr>
              <w:t xml:space="preserve"> </w:t>
            </w:r>
            <w:r w:rsidRPr="00015953">
              <w:rPr>
                <w:lang w:val="fr-FR"/>
              </w:rPr>
              <w:t xml:space="preserve">d’un maillage de 80 à 199 </w:t>
            </w:r>
            <w:proofErr w:type="spellStart"/>
            <w:r w:rsidRPr="00015953">
              <w:rPr>
                <w:lang w:val="fr-FR"/>
              </w:rPr>
              <w:t>mm</w:t>
            </w:r>
            <w:r w:rsidR="00AF7FFA" w:rsidRPr="00015953">
              <w:rPr>
                <w:lang w:val="fr-FR"/>
              </w:rPr>
              <w:t>.</w:t>
            </w:r>
            <w:proofErr w:type="spellEnd"/>
          </w:p>
          <w:p w14:paraId="4FE9662B" w14:textId="77777777" w:rsidR="003C7DB9" w:rsidRPr="00015953" w:rsidRDefault="003C7DB9" w:rsidP="001809C0">
            <w:pPr>
              <w:rPr>
                <w:lang w:val="fr-FR"/>
              </w:rPr>
            </w:pPr>
          </w:p>
          <w:p w14:paraId="73098C9F" w14:textId="6381B5FC" w:rsidR="003C7DB9" w:rsidRPr="00015953" w:rsidRDefault="002270A6" w:rsidP="001809C0">
            <w:pPr>
              <w:rPr>
                <w:lang w:val="fr-FR"/>
              </w:rPr>
            </w:pPr>
            <w:r w:rsidRPr="00015953">
              <w:rPr>
                <w:lang w:val="fr"/>
              </w:rPr>
              <w:t>Le STECF a conclu que données limitées ont été fournies par les États membres et que la preuve que l</w:t>
            </w:r>
            <w:r>
              <w:rPr>
                <w:lang w:val="fr"/>
              </w:rPr>
              <w:t>e débarquement</w:t>
            </w:r>
            <w:r w:rsidRPr="00015953">
              <w:rPr>
                <w:lang w:val="fr"/>
              </w:rPr>
              <w:t xml:space="preserve"> de captures non désirées a un coût connexe n’est pas suffisant pour démontrer que ces coûts sont disproportionnés. Le STECF note que l’amélioration de la sélectivité dans les pêcheries pertinentes devrait être la priorité, car elle réduirait les coûts de traitement des captures indésirables.</w:t>
            </w:r>
          </w:p>
        </w:tc>
        <w:tc>
          <w:tcPr>
            <w:tcW w:w="5386" w:type="dxa"/>
          </w:tcPr>
          <w:p w14:paraId="5064AFBD" w14:textId="6FBBE65F" w:rsidR="00782C38" w:rsidRPr="00015953" w:rsidRDefault="002270A6" w:rsidP="001809C0">
            <w:pPr>
              <w:rPr>
                <w:lang w:val="fr-FR"/>
              </w:rPr>
            </w:pPr>
            <w:r w:rsidRPr="002270A6">
              <w:rPr>
                <w:lang w:val="fr"/>
              </w:rPr>
              <w:lastRenderedPageBreak/>
              <w:t xml:space="preserve">Privilégier les améliorations de la sélectivité proposées dans les pêcheries où les captures non désirées de </w:t>
            </w:r>
            <w:proofErr w:type="spellStart"/>
            <w:r>
              <w:rPr>
                <w:lang w:val="fr"/>
              </w:rPr>
              <w:lastRenderedPageBreak/>
              <w:t>cardine</w:t>
            </w:r>
            <w:proofErr w:type="spellEnd"/>
            <w:r w:rsidRPr="002270A6">
              <w:rPr>
                <w:lang w:val="fr"/>
              </w:rPr>
              <w:t xml:space="preserve"> en dessous de </w:t>
            </w:r>
            <w:proofErr w:type="spellStart"/>
            <w:r w:rsidRPr="002270A6">
              <w:rPr>
                <w:lang w:val="fr"/>
              </w:rPr>
              <w:t>mcrs</w:t>
            </w:r>
            <w:proofErr w:type="spellEnd"/>
            <w:r w:rsidRPr="002270A6">
              <w:rPr>
                <w:lang w:val="fr"/>
              </w:rPr>
              <w:t xml:space="preserve"> sont les plus élevées. </w:t>
            </w:r>
            <w:r w:rsidRPr="00015953">
              <w:rPr>
                <w:lang w:val="fr"/>
              </w:rPr>
              <w:t>Mettre à jour l’information sur les coûts disproportionnés.</w:t>
            </w:r>
          </w:p>
        </w:tc>
      </w:tr>
      <w:tr w:rsidR="00E75F6B" w:rsidRPr="00015953" w14:paraId="6CBD0AA1" w14:textId="77777777" w:rsidTr="00DA1D90">
        <w:tc>
          <w:tcPr>
            <w:tcW w:w="1555" w:type="dxa"/>
          </w:tcPr>
          <w:p w14:paraId="11B17B7E" w14:textId="6A376991" w:rsidR="00E75F6B" w:rsidRPr="00015953" w:rsidRDefault="003415BD" w:rsidP="001809C0">
            <w:pPr>
              <w:rPr>
                <w:rFonts w:ascii="Calibri" w:hAnsi="Calibri" w:cs="Calibri"/>
                <w:b/>
                <w:bCs/>
                <w:color w:val="000000"/>
                <w:lang w:val="fr-FR"/>
              </w:rPr>
            </w:pPr>
            <w:r w:rsidRPr="00015953">
              <w:rPr>
                <w:rFonts w:ascii="Calibri" w:hAnsi="Calibri" w:cs="Calibri"/>
                <w:b/>
                <w:bCs/>
                <w:color w:val="000000"/>
                <w:lang w:val="fr-FR"/>
              </w:rPr>
              <w:lastRenderedPageBreak/>
              <w:t>Argentine</w:t>
            </w:r>
            <w:r w:rsidR="00E75F6B" w:rsidRPr="00015953">
              <w:rPr>
                <w:rFonts w:ascii="Calibri" w:hAnsi="Calibri" w:cs="Calibri"/>
                <w:b/>
                <w:bCs/>
                <w:color w:val="000000"/>
                <w:lang w:val="fr-FR"/>
              </w:rPr>
              <w:t xml:space="preserve"> 5b </w:t>
            </w:r>
            <w:r w:rsidRPr="00015953">
              <w:rPr>
                <w:rFonts w:ascii="Calibri" w:hAnsi="Calibri" w:cs="Calibri"/>
                <w:b/>
                <w:bCs/>
                <w:color w:val="000000"/>
                <w:lang w:val="fr-FR"/>
              </w:rPr>
              <w:t>et</w:t>
            </w:r>
            <w:r w:rsidR="00E75F6B" w:rsidRPr="00015953">
              <w:rPr>
                <w:rFonts w:ascii="Calibri" w:hAnsi="Calibri" w:cs="Calibri"/>
                <w:b/>
                <w:bCs/>
                <w:color w:val="000000"/>
                <w:lang w:val="fr-FR"/>
              </w:rPr>
              <w:t xml:space="preserve"> 6</w:t>
            </w:r>
            <w:r w:rsidR="0052790A" w:rsidRPr="00015953">
              <w:rPr>
                <w:rFonts w:ascii="Calibri" w:hAnsi="Calibri" w:cs="Calibri"/>
                <w:b/>
                <w:bCs/>
                <w:color w:val="000000"/>
                <w:lang w:val="fr-FR"/>
              </w:rPr>
              <w:t>*</w:t>
            </w:r>
          </w:p>
        </w:tc>
        <w:tc>
          <w:tcPr>
            <w:tcW w:w="6095" w:type="dxa"/>
          </w:tcPr>
          <w:p w14:paraId="774497E6" w14:textId="22B92675" w:rsidR="003C7DB9" w:rsidRPr="00015953" w:rsidRDefault="003415BD" w:rsidP="001809C0">
            <w:pPr>
              <w:rPr>
                <w:lang w:val="fr-FR"/>
              </w:rPr>
            </w:pPr>
            <w:r w:rsidRPr="00015953">
              <w:rPr>
                <w:lang w:val="fr-FR"/>
              </w:rPr>
              <w:t xml:space="preserve">jusqu’à un maximum de 0,6 %, en 2020, du total des captures annuelles de cette espèce effectuées par des navires utilisant des chaluts de fond d’un maillage égal ou supérieur à 100 </w:t>
            </w:r>
            <w:proofErr w:type="spellStart"/>
            <w:r w:rsidRPr="00015953">
              <w:rPr>
                <w:lang w:val="fr-FR"/>
              </w:rPr>
              <w:t>mm</w:t>
            </w:r>
            <w:r w:rsidRPr="00015953">
              <w:rPr>
                <w:lang w:val="fr-FR"/>
              </w:rPr>
              <w:t>.</w:t>
            </w:r>
            <w:proofErr w:type="spellEnd"/>
          </w:p>
          <w:p w14:paraId="3405137F" w14:textId="77777777" w:rsidR="003415BD" w:rsidRPr="00015953" w:rsidRDefault="003415BD" w:rsidP="001809C0">
            <w:pPr>
              <w:rPr>
                <w:lang w:val="fr-FR"/>
              </w:rPr>
            </w:pPr>
          </w:p>
          <w:p w14:paraId="60DB5508" w14:textId="21F5DAF7" w:rsidR="003C7DB9" w:rsidRPr="00015953" w:rsidRDefault="002270A6" w:rsidP="001809C0">
            <w:pPr>
              <w:rPr>
                <w:lang w:val="fr-FR"/>
              </w:rPr>
            </w:pPr>
            <w:r w:rsidRPr="00015953">
              <w:rPr>
                <w:lang w:val="fr"/>
              </w:rPr>
              <w:t>Des données limitées ont été fournies par les États membres et la preuve que l</w:t>
            </w:r>
            <w:r>
              <w:rPr>
                <w:lang w:val="fr"/>
              </w:rPr>
              <w:t>e débarquement</w:t>
            </w:r>
            <w:r w:rsidRPr="00015953">
              <w:rPr>
                <w:lang w:val="fr"/>
              </w:rPr>
              <w:t xml:space="preserve"> de captures non désirées a un coût connexe n’est pas suffisant pour démontrer que ces coûts sont disproportionnés. Le STECF note que l’amélioration de la sélectivité dans les pêcheries pertinentes devrait être la priorité, car elle réduirait les coûts de traitement des captures indésirables.</w:t>
            </w:r>
          </w:p>
        </w:tc>
        <w:tc>
          <w:tcPr>
            <w:tcW w:w="5386" w:type="dxa"/>
          </w:tcPr>
          <w:p w14:paraId="5959FFF4" w14:textId="77777777" w:rsidR="00E75F6B" w:rsidRPr="00015953" w:rsidRDefault="00E75F6B" w:rsidP="001809C0">
            <w:pPr>
              <w:rPr>
                <w:lang w:val="fr-FR"/>
              </w:rPr>
            </w:pPr>
          </w:p>
        </w:tc>
      </w:tr>
      <w:tr w:rsidR="00DA1D90" w:rsidRPr="00015953" w14:paraId="5F25785B" w14:textId="77777777" w:rsidTr="00DA1D90">
        <w:tc>
          <w:tcPr>
            <w:tcW w:w="1555" w:type="dxa"/>
          </w:tcPr>
          <w:p w14:paraId="2FCC80F8" w14:textId="7902BD23" w:rsidR="00DA1D90" w:rsidRPr="00015953" w:rsidRDefault="003415BD" w:rsidP="001809C0">
            <w:pPr>
              <w:rPr>
                <w:rFonts w:ascii="Calibri" w:hAnsi="Calibri" w:cs="Calibri"/>
                <w:b/>
                <w:bCs/>
                <w:color w:val="000000"/>
                <w:lang w:val="fr-FR"/>
              </w:rPr>
            </w:pPr>
            <w:r w:rsidRPr="00015953">
              <w:rPr>
                <w:rFonts w:ascii="Calibri" w:hAnsi="Calibri" w:cs="Calibri"/>
                <w:b/>
                <w:bCs/>
                <w:color w:val="000000"/>
                <w:lang w:val="fr-FR"/>
              </w:rPr>
              <w:t>Sangliers</w:t>
            </w:r>
            <w:r w:rsidR="00DA1D90" w:rsidRPr="00015953">
              <w:rPr>
                <w:rFonts w:ascii="Calibri" w:hAnsi="Calibri" w:cs="Calibri"/>
                <w:b/>
                <w:bCs/>
                <w:color w:val="000000"/>
                <w:lang w:val="fr-FR"/>
              </w:rPr>
              <w:t xml:space="preserve"> </w:t>
            </w:r>
            <w:r w:rsidR="00DA1D90" w:rsidRPr="00015953">
              <w:rPr>
                <w:b/>
                <w:bCs/>
                <w:lang w:val="fr-FR"/>
              </w:rPr>
              <w:t xml:space="preserve">7b,7c </w:t>
            </w:r>
            <w:r w:rsidRPr="00015953">
              <w:rPr>
                <w:b/>
                <w:bCs/>
                <w:lang w:val="fr-FR"/>
              </w:rPr>
              <w:t>et</w:t>
            </w:r>
            <w:r w:rsidR="00DA1D90" w:rsidRPr="00015953">
              <w:rPr>
                <w:b/>
                <w:bCs/>
                <w:lang w:val="fr-FR"/>
              </w:rPr>
              <w:t xml:space="preserve"> 7f-k</w:t>
            </w:r>
          </w:p>
        </w:tc>
        <w:tc>
          <w:tcPr>
            <w:tcW w:w="6095" w:type="dxa"/>
          </w:tcPr>
          <w:p w14:paraId="537C6A02" w14:textId="6CA953C6" w:rsidR="00DA1D90" w:rsidRPr="00015953" w:rsidRDefault="003415BD" w:rsidP="001809C0">
            <w:pPr>
              <w:rPr>
                <w:lang w:val="fr-FR"/>
              </w:rPr>
            </w:pPr>
            <w:r w:rsidRPr="00015953">
              <w:rPr>
                <w:lang w:val="fr-FR"/>
              </w:rPr>
              <w:t>j</w:t>
            </w:r>
            <w:r w:rsidRPr="00015953">
              <w:rPr>
                <w:lang w:val="fr-FR"/>
              </w:rPr>
              <w:t>usqu’à un maximum de 0,5 %, en 2020, du total des captures annuelles de ces espèces effectuées par des navires utilisant des chaluts de fond</w:t>
            </w:r>
          </w:p>
        </w:tc>
        <w:tc>
          <w:tcPr>
            <w:tcW w:w="5386" w:type="dxa"/>
          </w:tcPr>
          <w:p w14:paraId="66FBA63E" w14:textId="77777777" w:rsidR="00DA1D90" w:rsidRPr="00015953" w:rsidRDefault="00DA1D90" w:rsidP="001809C0">
            <w:pPr>
              <w:rPr>
                <w:lang w:val="fr-FR"/>
              </w:rPr>
            </w:pPr>
          </w:p>
        </w:tc>
      </w:tr>
      <w:tr w:rsidR="00DA1D90" w:rsidRPr="00015953" w14:paraId="4144AF7D" w14:textId="77777777" w:rsidTr="00DA1D90">
        <w:tc>
          <w:tcPr>
            <w:tcW w:w="1555" w:type="dxa"/>
          </w:tcPr>
          <w:p w14:paraId="68EB2BA7" w14:textId="29F21B78" w:rsidR="00DA1D90" w:rsidRPr="00015953" w:rsidRDefault="003415BD" w:rsidP="001809C0">
            <w:pPr>
              <w:rPr>
                <w:rFonts w:ascii="Calibri" w:hAnsi="Calibri" w:cs="Calibri"/>
                <w:b/>
                <w:bCs/>
                <w:color w:val="000000"/>
                <w:lang w:val="fr-FR"/>
              </w:rPr>
            </w:pPr>
            <w:r w:rsidRPr="00015953">
              <w:rPr>
                <w:rFonts w:ascii="Calibri" w:hAnsi="Calibri" w:cs="Calibri"/>
                <w:b/>
                <w:bCs/>
                <w:color w:val="000000"/>
                <w:lang w:val="fr-FR"/>
              </w:rPr>
              <w:t>P</w:t>
            </w:r>
            <w:r w:rsidRPr="00015953">
              <w:rPr>
                <w:rFonts w:ascii="Calibri" w:hAnsi="Calibri" w:cs="Calibri"/>
                <w:b/>
                <w:bCs/>
                <w:color w:val="000000"/>
                <w:lang w:val="fr-FR"/>
              </w:rPr>
              <w:t>êcheries mixtes démersales</w:t>
            </w:r>
            <w:r w:rsidRPr="00015953">
              <w:rPr>
                <w:rFonts w:ascii="Calibri" w:hAnsi="Calibri" w:cs="Calibri"/>
                <w:b/>
                <w:bCs/>
                <w:color w:val="000000"/>
                <w:lang w:val="fr-FR"/>
              </w:rPr>
              <w:t xml:space="preserve"> </w:t>
            </w:r>
            <w:r w:rsidR="00DA1D90" w:rsidRPr="00015953">
              <w:rPr>
                <w:rFonts w:ascii="Calibri" w:hAnsi="Calibri" w:cs="Calibri"/>
                <w:b/>
                <w:bCs/>
                <w:color w:val="000000"/>
                <w:lang w:val="fr-FR"/>
              </w:rPr>
              <w:t xml:space="preserve">7a </w:t>
            </w:r>
          </w:p>
        </w:tc>
        <w:tc>
          <w:tcPr>
            <w:tcW w:w="6095" w:type="dxa"/>
          </w:tcPr>
          <w:p w14:paraId="7F999F08" w14:textId="4376FF8D" w:rsidR="003415BD" w:rsidRPr="00015953" w:rsidRDefault="003415BD" w:rsidP="00DA1D90">
            <w:pPr>
              <w:rPr>
                <w:lang w:val="fr-FR"/>
              </w:rPr>
            </w:pPr>
            <w:r w:rsidRPr="00015953">
              <w:rPr>
                <w:lang w:val="fr-FR"/>
              </w:rPr>
              <w:t xml:space="preserve">dans les pêcheries mixtes démersales exploitées par des navires ciblant la crevette grise et utilisant des chaluts à perche d’un maillage égal ou supérieur à 31 mm dans la division CIEM 7 a: </w:t>
            </w:r>
          </w:p>
          <w:p w14:paraId="473691A0" w14:textId="77777777" w:rsidR="003415BD" w:rsidRPr="00015953" w:rsidRDefault="003415BD" w:rsidP="00DA1D90">
            <w:pPr>
              <w:rPr>
                <w:lang w:val="fr-FR"/>
              </w:rPr>
            </w:pPr>
          </w:p>
          <w:p w14:paraId="20F69B3C" w14:textId="0F670E3B" w:rsidR="00DA1D90" w:rsidRPr="00015953" w:rsidRDefault="003415BD" w:rsidP="00DA1D90">
            <w:pPr>
              <w:rPr>
                <w:lang w:val="fr-FR"/>
              </w:rPr>
            </w:pPr>
            <w:r w:rsidRPr="00015953">
              <w:rPr>
                <w:lang w:val="fr-FR"/>
              </w:rPr>
              <w:t>une quantité combinée d’espèces de poissons de taille inférieure à la TMRC, ne dépassant pas 0,85 % du total des captures annuelles de plie commune et 0,15 % du total des captures annuelles de merlan dans les pêcheries mixtes démersales.</w:t>
            </w:r>
          </w:p>
        </w:tc>
        <w:tc>
          <w:tcPr>
            <w:tcW w:w="5386" w:type="dxa"/>
          </w:tcPr>
          <w:p w14:paraId="5E71AE93" w14:textId="77777777" w:rsidR="002270A6" w:rsidRPr="00015953" w:rsidRDefault="002270A6" w:rsidP="002F6FB9">
            <w:pPr>
              <w:rPr>
                <w:lang w:val="fr-FR"/>
              </w:rPr>
            </w:pPr>
            <w:r w:rsidRPr="00015953">
              <w:rPr>
                <w:lang w:val="fr"/>
              </w:rPr>
              <w:t>L’amélioration de la sélectivité du merlan dans les pêches où les captures non désirées sont les plus élevées devrait rester une priorité.</w:t>
            </w:r>
          </w:p>
          <w:p w14:paraId="2FAE000D" w14:textId="4A43246E" w:rsidR="00DA1D90" w:rsidRPr="00015953" w:rsidRDefault="002270A6" w:rsidP="00E9119A">
            <w:pPr>
              <w:rPr>
                <w:lang w:val="fr-FR"/>
              </w:rPr>
            </w:pPr>
            <w:r w:rsidRPr="00015953">
              <w:rPr>
                <w:lang w:val="fr"/>
              </w:rPr>
              <w:t>L’efficacité des mesures de sélectivité introduites en 2019 devrait être surveillée en 2020.</w:t>
            </w:r>
          </w:p>
        </w:tc>
      </w:tr>
    </w:tbl>
    <w:p w14:paraId="79DD73A1" w14:textId="3FA9DC9A" w:rsidR="0052790A" w:rsidRPr="00015953" w:rsidRDefault="0052790A" w:rsidP="001809C0">
      <w:pPr>
        <w:rPr>
          <w:b/>
          <w:bCs/>
          <w:lang w:val="fr-FR"/>
        </w:rPr>
      </w:pPr>
    </w:p>
    <w:sectPr w:rsidR="0052790A" w:rsidRPr="00015953" w:rsidSect="00DA1D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FEC"/>
    <w:multiLevelType w:val="hybridMultilevel"/>
    <w:tmpl w:val="A800A992"/>
    <w:lvl w:ilvl="0" w:tplc="2C5E80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F03CB5"/>
    <w:multiLevelType w:val="hybridMultilevel"/>
    <w:tmpl w:val="A2C4B018"/>
    <w:lvl w:ilvl="0" w:tplc="BB1476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C078BC"/>
    <w:multiLevelType w:val="multilevel"/>
    <w:tmpl w:val="5C8E4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5F0804"/>
    <w:multiLevelType w:val="hybridMultilevel"/>
    <w:tmpl w:val="C6F2C938"/>
    <w:lvl w:ilvl="0" w:tplc="8B5236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C9F6380"/>
    <w:multiLevelType w:val="hybridMultilevel"/>
    <w:tmpl w:val="B9A8E09E"/>
    <w:lvl w:ilvl="0" w:tplc="C65C31C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C0"/>
    <w:rsid w:val="00015953"/>
    <w:rsid w:val="0011647C"/>
    <w:rsid w:val="001809C0"/>
    <w:rsid w:val="002270A6"/>
    <w:rsid w:val="003415BD"/>
    <w:rsid w:val="0035553B"/>
    <w:rsid w:val="003C7DB9"/>
    <w:rsid w:val="004542B7"/>
    <w:rsid w:val="0052790A"/>
    <w:rsid w:val="00552A3F"/>
    <w:rsid w:val="006D6B27"/>
    <w:rsid w:val="00776CF9"/>
    <w:rsid w:val="00782C38"/>
    <w:rsid w:val="00840FD8"/>
    <w:rsid w:val="009F701A"/>
    <w:rsid w:val="00AF7FFA"/>
    <w:rsid w:val="00D052FC"/>
    <w:rsid w:val="00D6657D"/>
    <w:rsid w:val="00DA1D90"/>
    <w:rsid w:val="00E24D7D"/>
    <w:rsid w:val="00E75F6B"/>
    <w:rsid w:val="00E9119A"/>
    <w:rsid w:val="00FA22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CAB2"/>
  <w15:chartTrackingRefBased/>
  <w15:docId w15:val="{824D5F69-E46E-467A-8946-95454F3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38"/>
    <w:rPr>
      <w:rFonts w:ascii="Segoe UI" w:hAnsi="Segoe UI" w:cs="Segoe UI"/>
      <w:sz w:val="18"/>
      <w:szCs w:val="18"/>
    </w:rPr>
  </w:style>
  <w:style w:type="paragraph" w:styleId="ListParagraph">
    <w:name w:val="List Paragraph"/>
    <w:basedOn w:val="Normal"/>
    <w:uiPriority w:val="34"/>
    <w:qFormat/>
    <w:rsid w:val="0052790A"/>
    <w:pPr>
      <w:ind w:left="720"/>
      <w:contextualSpacing/>
    </w:pPr>
  </w:style>
  <w:style w:type="paragraph" w:customStyle="1" w:styleId="ti-art">
    <w:name w:val="ti-art"/>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i-art">
    <w:name w:val="sti-art"/>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542B7"/>
    <w:rPr>
      <w:color w:val="0000FF"/>
      <w:u w:val="single"/>
    </w:rPr>
  </w:style>
  <w:style w:type="character" w:customStyle="1" w:styleId="super">
    <w:name w:val="super"/>
    <w:basedOn w:val="DefaultParagraphFont"/>
    <w:rsid w:val="0045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06075">
      <w:bodyDiv w:val="1"/>
      <w:marLeft w:val="0"/>
      <w:marRight w:val="0"/>
      <w:marTop w:val="0"/>
      <w:marBottom w:val="0"/>
      <w:divBdr>
        <w:top w:val="none" w:sz="0" w:space="0" w:color="auto"/>
        <w:left w:val="none" w:sz="0" w:space="0" w:color="auto"/>
        <w:bottom w:val="none" w:sz="0" w:space="0" w:color="auto"/>
        <w:right w:val="none" w:sz="0" w:space="0" w:color="auto"/>
      </w:divBdr>
    </w:div>
    <w:div w:id="479074259">
      <w:bodyDiv w:val="1"/>
      <w:marLeft w:val="0"/>
      <w:marRight w:val="0"/>
      <w:marTop w:val="0"/>
      <w:marBottom w:val="0"/>
      <w:divBdr>
        <w:top w:val="none" w:sz="0" w:space="0" w:color="auto"/>
        <w:left w:val="none" w:sz="0" w:space="0" w:color="auto"/>
        <w:bottom w:val="none" w:sz="0" w:space="0" w:color="auto"/>
        <w:right w:val="none" w:sz="0" w:space="0" w:color="auto"/>
      </w:divBdr>
      <w:divsChild>
        <w:div w:id="1010183210">
          <w:marLeft w:val="0"/>
          <w:marRight w:val="0"/>
          <w:marTop w:val="0"/>
          <w:marBottom w:val="0"/>
          <w:divBdr>
            <w:top w:val="none" w:sz="0" w:space="0" w:color="auto"/>
            <w:left w:val="none" w:sz="0" w:space="0" w:color="auto"/>
            <w:bottom w:val="none" w:sz="0" w:space="0" w:color="auto"/>
            <w:right w:val="none" w:sz="0" w:space="0" w:color="auto"/>
          </w:divBdr>
        </w:div>
        <w:div w:id="1133911286">
          <w:marLeft w:val="0"/>
          <w:marRight w:val="0"/>
          <w:marTop w:val="0"/>
          <w:marBottom w:val="0"/>
          <w:divBdr>
            <w:top w:val="none" w:sz="0" w:space="0" w:color="auto"/>
            <w:left w:val="none" w:sz="0" w:space="0" w:color="auto"/>
            <w:bottom w:val="none" w:sz="0" w:space="0" w:color="auto"/>
            <w:right w:val="none" w:sz="0" w:space="0" w:color="auto"/>
          </w:divBdr>
        </w:div>
        <w:div w:id="2048144751">
          <w:marLeft w:val="0"/>
          <w:marRight w:val="0"/>
          <w:marTop w:val="0"/>
          <w:marBottom w:val="0"/>
          <w:divBdr>
            <w:top w:val="none" w:sz="0" w:space="0" w:color="auto"/>
            <w:left w:val="none" w:sz="0" w:space="0" w:color="auto"/>
            <w:bottom w:val="none" w:sz="0" w:space="0" w:color="auto"/>
            <w:right w:val="none" w:sz="0" w:space="0" w:color="auto"/>
          </w:divBdr>
        </w:div>
        <w:div w:id="210729444">
          <w:marLeft w:val="0"/>
          <w:marRight w:val="0"/>
          <w:marTop w:val="0"/>
          <w:marBottom w:val="0"/>
          <w:divBdr>
            <w:top w:val="none" w:sz="0" w:space="0" w:color="auto"/>
            <w:left w:val="none" w:sz="0" w:space="0" w:color="auto"/>
            <w:bottom w:val="none" w:sz="0" w:space="0" w:color="auto"/>
            <w:right w:val="none" w:sz="0" w:space="0" w:color="auto"/>
          </w:divBdr>
        </w:div>
        <w:div w:id="1524441608">
          <w:marLeft w:val="0"/>
          <w:marRight w:val="0"/>
          <w:marTop w:val="0"/>
          <w:marBottom w:val="0"/>
          <w:divBdr>
            <w:top w:val="none" w:sz="0" w:space="0" w:color="auto"/>
            <w:left w:val="none" w:sz="0" w:space="0" w:color="auto"/>
            <w:bottom w:val="none" w:sz="0" w:space="0" w:color="auto"/>
            <w:right w:val="none" w:sz="0" w:space="0" w:color="auto"/>
          </w:divBdr>
        </w:div>
      </w:divsChild>
    </w:div>
    <w:div w:id="513807137">
      <w:bodyDiv w:val="1"/>
      <w:marLeft w:val="0"/>
      <w:marRight w:val="0"/>
      <w:marTop w:val="0"/>
      <w:marBottom w:val="0"/>
      <w:divBdr>
        <w:top w:val="none" w:sz="0" w:space="0" w:color="auto"/>
        <w:left w:val="none" w:sz="0" w:space="0" w:color="auto"/>
        <w:bottom w:val="none" w:sz="0" w:space="0" w:color="auto"/>
        <w:right w:val="none" w:sz="0" w:space="0" w:color="auto"/>
      </w:divBdr>
      <w:divsChild>
        <w:div w:id="1831096150">
          <w:marLeft w:val="0"/>
          <w:marRight w:val="0"/>
          <w:marTop w:val="0"/>
          <w:marBottom w:val="0"/>
          <w:divBdr>
            <w:top w:val="none" w:sz="0" w:space="0" w:color="auto"/>
            <w:left w:val="none" w:sz="0" w:space="0" w:color="auto"/>
            <w:bottom w:val="none" w:sz="0" w:space="0" w:color="auto"/>
            <w:right w:val="none" w:sz="0" w:space="0" w:color="auto"/>
          </w:divBdr>
        </w:div>
        <w:div w:id="408843903">
          <w:marLeft w:val="0"/>
          <w:marRight w:val="0"/>
          <w:marTop w:val="0"/>
          <w:marBottom w:val="0"/>
          <w:divBdr>
            <w:top w:val="none" w:sz="0" w:space="0" w:color="auto"/>
            <w:left w:val="none" w:sz="0" w:space="0" w:color="auto"/>
            <w:bottom w:val="none" w:sz="0" w:space="0" w:color="auto"/>
            <w:right w:val="none" w:sz="0" w:space="0" w:color="auto"/>
          </w:divBdr>
        </w:div>
        <w:div w:id="638534054">
          <w:marLeft w:val="0"/>
          <w:marRight w:val="0"/>
          <w:marTop w:val="0"/>
          <w:marBottom w:val="0"/>
          <w:divBdr>
            <w:top w:val="none" w:sz="0" w:space="0" w:color="auto"/>
            <w:left w:val="none" w:sz="0" w:space="0" w:color="auto"/>
            <w:bottom w:val="none" w:sz="0" w:space="0" w:color="auto"/>
            <w:right w:val="none" w:sz="0" w:space="0" w:color="auto"/>
          </w:divBdr>
        </w:div>
        <w:div w:id="382172570">
          <w:marLeft w:val="0"/>
          <w:marRight w:val="0"/>
          <w:marTop w:val="0"/>
          <w:marBottom w:val="0"/>
          <w:divBdr>
            <w:top w:val="none" w:sz="0" w:space="0" w:color="auto"/>
            <w:left w:val="none" w:sz="0" w:space="0" w:color="auto"/>
            <w:bottom w:val="none" w:sz="0" w:space="0" w:color="auto"/>
            <w:right w:val="none" w:sz="0" w:space="0" w:color="auto"/>
          </w:divBdr>
        </w:div>
        <w:div w:id="704064059">
          <w:marLeft w:val="0"/>
          <w:marRight w:val="0"/>
          <w:marTop w:val="0"/>
          <w:marBottom w:val="0"/>
          <w:divBdr>
            <w:top w:val="none" w:sz="0" w:space="0" w:color="auto"/>
            <w:left w:val="none" w:sz="0" w:space="0" w:color="auto"/>
            <w:bottom w:val="none" w:sz="0" w:space="0" w:color="auto"/>
            <w:right w:val="none" w:sz="0" w:space="0" w:color="auto"/>
          </w:divBdr>
        </w:div>
      </w:divsChild>
    </w:div>
    <w:div w:id="662247451">
      <w:bodyDiv w:val="1"/>
      <w:marLeft w:val="0"/>
      <w:marRight w:val="0"/>
      <w:marTop w:val="0"/>
      <w:marBottom w:val="0"/>
      <w:divBdr>
        <w:top w:val="none" w:sz="0" w:space="0" w:color="auto"/>
        <w:left w:val="none" w:sz="0" w:space="0" w:color="auto"/>
        <w:bottom w:val="none" w:sz="0" w:space="0" w:color="auto"/>
        <w:right w:val="none" w:sz="0" w:space="0" w:color="auto"/>
      </w:divBdr>
    </w:div>
    <w:div w:id="811218990">
      <w:bodyDiv w:val="1"/>
      <w:marLeft w:val="0"/>
      <w:marRight w:val="0"/>
      <w:marTop w:val="0"/>
      <w:marBottom w:val="0"/>
      <w:divBdr>
        <w:top w:val="none" w:sz="0" w:space="0" w:color="auto"/>
        <w:left w:val="none" w:sz="0" w:space="0" w:color="auto"/>
        <w:bottom w:val="none" w:sz="0" w:space="0" w:color="auto"/>
        <w:right w:val="none" w:sz="0" w:space="0" w:color="auto"/>
      </w:divBdr>
    </w:div>
    <w:div w:id="877858969">
      <w:bodyDiv w:val="1"/>
      <w:marLeft w:val="0"/>
      <w:marRight w:val="0"/>
      <w:marTop w:val="0"/>
      <w:marBottom w:val="0"/>
      <w:divBdr>
        <w:top w:val="none" w:sz="0" w:space="0" w:color="auto"/>
        <w:left w:val="none" w:sz="0" w:space="0" w:color="auto"/>
        <w:bottom w:val="none" w:sz="0" w:space="0" w:color="auto"/>
        <w:right w:val="none" w:sz="0" w:space="0" w:color="auto"/>
      </w:divBdr>
    </w:div>
    <w:div w:id="1036586882">
      <w:bodyDiv w:val="1"/>
      <w:marLeft w:val="0"/>
      <w:marRight w:val="0"/>
      <w:marTop w:val="0"/>
      <w:marBottom w:val="0"/>
      <w:divBdr>
        <w:top w:val="none" w:sz="0" w:space="0" w:color="auto"/>
        <w:left w:val="none" w:sz="0" w:space="0" w:color="auto"/>
        <w:bottom w:val="none" w:sz="0" w:space="0" w:color="auto"/>
        <w:right w:val="none" w:sz="0" w:space="0" w:color="auto"/>
      </w:divBdr>
    </w:div>
    <w:div w:id="1050106960">
      <w:bodyDiv w:val="1"/>
      <w:marLeft w:val="0"/>
      <w:marRight w:val="0"/>
      <w:marTop w:val="0"/>
      <w:marBottom w:val="0"/>
      <w:divBdr>
        <w:top w:val="none" w:sz="0" w:space="0" w:color="auto"/>
        <w:left w:val="none" w:sz="0" w:space="0" w:color="auto"/>
        <w:bottom w:val="none" w:sz="0" w:space="0" w:color="auto"/>
        <w:right w:val="none" w:sz="0" w:space="0" w:color="auto"/>
      </w:divBdr>
      <w:divsChild>
        <w:div w:id="2120031324">
          <w:marLeft w:val="0"/>
          <w:marRight w:val="0"/>
          <w:marTop w:val="0"/>
          <w:marBottom w:val="0"/>
          <w:divBdr>
            <w:top w:val="none" w:sz="0" w:space="0" w:color="auto"/>
            <w:left w:val="none" w:sz="0" w:space="0" w:color="auto"/>
            <w:bottom w:val="none" w:sz="0" w:space="0" w:color="auto"/>
            <w:right w:val="none" w:sz="0" w:space="0" w:color="auto"/>
          </w:divBdr>
        </w:div>
        <w:div w:id="2139444955">
          <w:marLeft w:val="0"/>
          <w:marRight w:val="0"/>
          <w:marTop w:val="0"/>
          <w:marBottom w:val="0"/>
          <w:divBdr>
            <w:top w:val="none" w:sz="0" w:space="0" w:color="auto"/>
            <w:left w:val="none" w:sz="0" w:space="0" w:color="auto"/>
            <w:bottom w:val="none" w:sz="0" w:space="0" w:color="auto"/>
            <w:right w:val="none" w:sz="0" w:space="0" w:color="auto"/>
          </w:divBdr>
        </w:div>
      </w:divsChild>
    </w:div>
    <w:div w:id="1114061229">
      <w:bodyDiv w:val="1"/>
      <w:marLeft w:val="0"/>
      <w:marRight w:val="0"/>
      <w:marTop w:val="0"/>
      <w:marBottom w:val="0"/>
      <w:divBdr>
        <w:top w:val="none" w:sz="0" w:space="0" w:color="auto"/>
        <w:left w:val="none" w:sz="0" w:space="0" w:color="auto"/>
        <w:bottom w:val="none" w:sz="0" w:space="0" w:color="auto"/>
        <w:right w:val="none" w:sz="0" w:space="0" w:color="auto"/>
      </w:divBdr>
    </w:div>
    <w:div w:id="1318652415">
      <w:bodyDiv w:val="1"/>
      <w:marLeft w:val="0"/>
      <w:marRight w:val="0"/>
      <w:marTop w:val="0"/>
      <w:marBottom w:val="0"/>
      <w:divBdr>
        <w:top w:val="none" w:sz="0" w:space="0" w:color="auto"/>
        <w:left w:val="none" w:sz="0" w:space="0" w:color="auto"/>
        <w:bottom w:val="none" w:sz="0" w:space="0" w:color="auto"/>
        <w:right w:val="none" w:sz="0" w:space="0" w:color="auto"/>
      </w:divBdr>
    </w:div>
    <w:div w:id="1439448101">
      <w:bodyDiv w:val="1"/>
      <w:marLeft w:val="0"/>
      <w:marRight w:val="0"/>
      <w:marTop w:val="0"/>
      <w:marBottom w:val="0"/>
      <w:divBdr>
        <w:top w:val="none" w:sz="0" w:space="0" w:color="auto"/>
        <w:left w:val="none" w:sz="0" w:space="0" w:color="auto"/>
        <w:bottom w:val="none" w:sz="0" w:space="0" w:color="auto"/>
        <w:right w:val="none" w:sz="0" w:space="0" w:color="auto"/>
      </w:divBdr>
      <w:divsChild>
        <w:div w:id="2107722873">
          <w:marLeft w:val="0"/>
          <w:marRight w:val="0"/>
          <w:marTop w:val="0"/>
          <w:marBottom w:val="0"/>
          <w:divBdr>
            <w:top w:val="none" w:sz="0" w:space="0" w:color="auto"/>
            <w:left w:val="none" w:sz="0" w:space="0" w:color="auto"/>
            <w:bottom w:val="none" w:sz="0" w:space="0" w:color="auto"/>
            <w:right w:val="none" w:sz="0" w:space="0" w:color="auto"/>
          </w:divBdr>
        </w:div>
        <w:div w:id="1480463398">
          <w:marLeft w:val="0"/>
          <w:marRight w:val="0"/>
          <w:marTop w:val="0"/>
          <w:marBottom w:val="0"/>
          <w:divBdr>
            <w:top w:val="none" w:sz="0" w:space="0" w:color="auto"/>
            <w:left w:val="none" w:sz="0" w:space="0" w:color="auto"/>
            <w:bottom w:val="none" w:sz="0" w:space="0" w:color="auto"/>
            <w:right w:val="none" w:sz="0" w:space="0" w:color="auto"/>
          </w:divBdr>
        </w:div>
        <w:div w:id="252250969">
          <w:marLeft w:val="0"/>
          <w:marRight w:val="0"/>
          <w:marTop w:val="0"/>
          <w:marBottom w:val="0"/>
          <w:divBdr>
            <w:top w:val="none" w:sz="0" w:space="0" w:color="auto"/>
            <w:left w:val="none" w:sz="0" w:space="0" w:color="auto"/>
            <w:bottom w:val="none" w:sz="0" w:space="0" w:color="auto"/>
            <w:right w:val="none" w:sz="0" w:space="0" w:color="auto"/>
          </w:divBdr>
        </w:div>
        <w:div w:id="1599561049">
          <w:marLeft w:val="0"/>
          <w:marRight w:val="0"/>
          <w:marTop w:val="0"/>
          <w:marBottom w:val="0"/>
          <w:divBdr>
            <w:top w:val="none" w:sz="0" w:space="0" w:color="auto"/>
            <w:left w:val="none" w:sz="0" w:space="0" w:color="auto"/>
            <w:bottom w:val="none" w:sz="0" w:space="0" w:color="auto"/>
            <w:right w:val="none" w:sz="0" w:space="0" w:color="auto"/>
          </w:divBdr>
        </w:div>
      </w:divsChild>
    </w:div>
    <w:div w:id="1542205772">
      <w:bodyDiv w:val="1"/>
      <w:marLeft w:val="0"/>
      <w:marRight w:val="0"/>
      <w:marTop w:val="0"/>
      <w:marBottom w:val="0"/>
      <w:divBdr>
        <w:top w:val="none" w:sz="0" w:space="0" w:color="auto"/>
        <w:left w:val="none" w:sz="0" w:space="0" w:color="auto"/>
        <w:bottom w:val="none" w:sz="0" w:space="0" w:color="auto"/>
        <w:right w:val="none" w:sz="0" w:space="0" w:color="auto"/>
      </w:divBdr>
    </w:div>
    <w:div w:id="1711682204">
      <w:bodyDiv w:val="1"/>
      <w:marLeft w:val="0"/>
      <w:marRight w:val="0"/>
      <w:marTop w:val="0"/>
      <w:marBottom w:val="0"/>
      <w:divBdr>
        <w:top w:val="none" w:sz="0" w:space="0" w:color="auto"/>
        <w:left w:val="none" w:sz="0" w:space="0" w:color="auto"/>
        <w:bottom w:val="none" w:sz="0" w:space="0" w:color="auto"/>
        <w:right w:val="none" w:sz="0" w:space="0" w:color="auto"/>
      </w:divBdr>
    </w:div>
    <w:div w:id="2087340809">
      <w:bodyDiv w:val="1"/>
      <w:marLeft w:val="0"/>
      <w:marRight w:val="0"/>
      <w:marTop w:val="0"/>
      <w:marBottom w:val="0"/>
      <w:divBdr>
        <w:top w:val="none" w:sz="0" w:space="0" w:color="auto"/>
        <w:left w:val="none" w:sz="0" w:space="0" w:color="auto"/>
        <w:bottom w:val="none" w:sz="0" w:space="0" w:color="auto"/>
        <w:right w:val="none" w:sz="0" w:space="0" w:color="auto"/>
      </w:divBdr>
    </w:div>
    <w:div w:id="21185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Vallerani, Matilde</dc:creator>
  <cp:keywords/>
  <dc:description/>
  <cp:lastModifiedBy>Vallerani, Matilde</cp:lastModifiedBy>
  <cp:revision>5</cp:revision>
  <dcterms:created xsi:type="dcterms:W3CDTF">2020-02-24T14:20:00Z</dcterms:created>
  <dcterms:modified xsi:type="dcterms:W3CDTF">2020-03-05T11:51:00Z</dcterms:modified>
</cp:coreProperties>
</file>