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5BB2" w14:textId="77777777" w:rsidR="00DD1764" w:rsidRPr="0024036F" w:rsidRDefault="00DD1764" w:rsidP="00C3777F">
      <w:pPr>
        <w:spacing w:after="0" w:line="240" w:lineRule="auto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24036F"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70850EB" wp14:editId="0514FBD3">
            <wp:simplePos x="0" y="0"/>
            <wp:positionH relativeFrom="column">
              <wp:posOffset>-223520</wp:posOffset>
            </wp:positionH>
            <wp:positionV relativeFrom="paragraph">
              <wp:posOffset>-35401</wp:posOffset>
            </wp:positionV>
            <wp:extent cx="2162175" cy="162163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PMEM M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35" cy="162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68445" w14:textId="620CDE74" w:rsidR="00DC0D50" w:rsidRPr="0024036F" w:rsidRDefault="00DC0D50" w:rsidP="00DC0D50">
      <w:pPr>
        <w:tabs>
          <w:tab w:val="left" w:pos="8364"/>
        </w:tabs>
        <w:spacing w:after="120" w:line="240" w:lineRule="auto"/>
        <w:ind w:left="3686" w:right="-567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4036F">
        <w:rPr>
          <w:rFonts w:ascii="Times New Roman" w:hAnsi="Times New Roman" w:cs="Times New Roman"/>
          <w:b/>
          <w:sz w:val="32"/>
          <w:szCs w:val="32"/>
          <w:lang w:val="en-GB"/>
        </w:rPr>
        <w:t xml:space="preserve">Position </w:t>
      </w:r>
      <w:r w:rsidR="0024036F">
        <w:rPr>
          <w:rFonts w:ascii="Times New Roman" w:hAnsi="Times New Roman" w:cs="Times New Roman"/>
          <w:b/>
          <w:sz w:val="32"/>
          <w:szCs w:val="32"/>
          <w:lang w:val="en-GB"/>
        </w:rPr>
        <w:t>of the</w:t>
      </w:r>
      <w:r w:rsidRPr="0024036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CNPMEM </w:t>
      </w:r>
      <w:r w:rsidR="0024036F">
        <w:rPr>
          <w:rFonts w:ascii="Times New Roman" w:hAnsi="Times New Roman" w:cs="Times New Roman"/>
          <w:b/>
          <w:sz w:val="32"/>
          <w:szCs w:val="32"/>
          <w:lang w:val="en-GB"/>
        </w:rPr>
        <w:t xml:space="preserve">in response to the letter from the European </w:t>
      </w:r>
      <w:r w:rsidR="0079399B" w:rsidRPr="0024036F">
        <w:rPr>
          <w:rFonts w:ascii="Times New Roman" w:hAnsi="Times New Roman" w:cs="Times New Roman"/>
          <w:b/>
          <w:sz w:val="32"/>
          <w:szCs w:val="32"/>
          <w:lang w:val="en-GB"/>
        </w:rPr>
        <w:t>C</w:t>
      </w:r>
      <w:r w:rsidRPr="0024036F">
        <w:rPr>
          <w:rFonts w:ascii="Times New Roman" w:hAnsi="Times New Roman" w:cs="Times New Roman"/>
          <w:b/>
          <w:sz w:val="32"/>
          <w:szCs w:val="32"/>
          <w:lang w:val="en-GB"/>
        </w:rPr>
        <w:t xml:space="preserve">ommission </w:t>
      </w:r>
      <w:r w:rsidR="0024036F">
        <w:rPr>
          <w:rFonts w:ascii="Times New Roman" w:hAnsi="Times New Roman" w:cs="Times New Roman"/>
          <w:b/>
          <w:sz w:val="32"/>
          <w:szCs w:val="32"/>
          <w:lang w:val="en-GB"/>
        </w:rPr>
        <w:t>concerning the management of sea bass fisheries in the Northern area in</w:t>
      </w:r>
      <w:r w:rsidRPr="0024036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2019</w:t>
      </w:r>
    </w:p>
    <w:p w14:paraId="652D2547" w14:textId="77777777" w:rsidR="00DC0D50" w:rsidRPr="0024036F" w:rsidRDefault="004B028B" w:rsidP="00DC0D50">
      <w:pPr>
        <w:spacing w:after="120" w:line="240" w:lineRule="auto"/>
        <w:ind w:right="284" w:firstLine="3686"/>
        <w:rPr>
          <w:rFonts w:ascii="Times New Roman" w:hAnsi="Times New Roman" w:cs="Times New Roman"/>
          <w:sz w:val="28"/>
          <w:szCs w:val="28"/>
          <w:lang w:val="en-GB"/>
        </w:rPr>
      </w:pPr>
      <w:r w:rsidRPr="0024036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DC0D50" w:rsidRPr="0024036F">
        <w:rPr>
          <w:rFonts w:ascii="Times New Roman" w:hAnsi="Times New Roman" w:cs="Times New Roman"/>
          <w:sz w:val="28"/>
          <w:szCs w:val="28"/>
          <w:lang w:val="en-GB"/>
        </w:rPr>
        <w:t xml:space="preserve">ersion </w:t>
      </w:r>
      <w:r w:rsidR="001622DF" w:rsidRPr="0024036F">
        <w:rPr>
          <w:rFonts w:ascii="Times New Roman" w:hAnsi="Times New Roman" w:cs="Times New Roman"/>
          <w:sz w:val="28"/>
          <w:szCs w:val="28"/>
          <w:lang w:val="en-GB"/>
        </w:rPr>
        <w:t>of August 7th,</w:t>
      </w:r>
      <w:r w:rsidR="00DC0D50" w:rsidRPr="0024036F">
        <w:rPr>
          <w:rFonts w:ascii="Times New Roman" w:hAnsi="Times New Roman" w:cs="Times New Roman"/>
          <w:sz w:val="28"/>
          <w:szCs w:val="28"/>
          <w:lang w:val="en-GB"/>
        </w:rPr>
        <w:t xml:space="preserve"> 2018</w:t>
      </w:r>
    </w:p>
    <w:p w14:paraId="0FFC094F" w14:textId="77777777" w:rsidR="00C2563E" w:rsidRPr="0024036F" w:rsidRDefault="00C2563E" w:rsidP="00C40825">
      <w:pPr>
        <w:spacing w:after="12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2FDE07C" w14:textId="77777777" w:rsidR="00824441" w:rsidRPr="0024036F" w:rsidRDefault="00D24E40" w:rsidP="00C40825">
      <w:pPr>
        <w:spacing w:after="12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4036F">
        <w:rPr>
          <w:rFonts w:ascii="Times New Roman" w:hAnsi="Times New Roman" w:cs="Times New Roman"/>
          <w:b/>
          <w:sz w:val="28"/>
          <w:szCs w:val="28"/>
          <w:lang w:val="en-GB"/>
        </w:rPr>
        <w:t>Premise</w:t>
      </w:r>
    </w:p>
    <w:p w14:paraId="7099C525" w14:textId="77777777" w:rsidR="000E202D" w:rsidRPr="0024036F" w:rsidRDefault="001622DF" w:rsidP="008B2FF8">
      <w:pPr>
        <w:tabs>
          <w:tab w:val="left" w:pos="851"/>
        </w:tabs>
        <w:spacing w:after="12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32D1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A36D47" w:rsidRPr="0024036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32D18" w:rsidRPr="0024036F">
        <w:rPr>
          <w:rFonts w:ascii="Times New Roman" w:hAnsi="Times New Roman" w:cs="Times New Roman"/>
          <w:sz w:val="24"/>
          <w:szCs w:val="24"/>
          <w:lang w:val="en-GB"/>
        </w:rPr>
        <w:t>PM</w:t>
      </w:r>
      <w:r w:rsidR="00A36D47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EM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considers that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landing obligation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should not apply to sea bas</w:t>
      </w:r>
      <w:r w:rsidR="006E3D44" w:rsidRPr="002403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6E3D4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the Northern area </w:t>
      </w:r>
      <w:r w:rsidR="00D462B3" w:rsidRPr="002403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E3D4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ICES </w:t>
      </w:r>
      <w:r w:rsidR="00D462B3" w:rsidRPr="0024036F">
        <w:rPr>
          <w:rFonts w:ascii="Times New Roman" w:hAnsi="Times New Roman" w:cs="Times New Roman"/>
          <w:sz w:val="24"/>
          <w:szCs w:val="24"/>
          <w:lang w:val="en-GB"/>
        </w:rPr>
        <w:t>divisions 4.b-c, 7.a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462B3" w:rsidRPr="0024036F">
        <w:rPr>
          <w:rFonts w:ascii="Times New Roman" w:hAnsi="Times New Roman" w:cs="Times New Roman"/>
          <w:sz w:val="24"/>
          <w:szCs w:val="24"/>
          <w:lang w:val="en-GB"/>
        </w:rPr>
        <w:t>7.d-h)</w:t>
      </w:r>
      <w:r w:rsidR="001A23CE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E3D4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given that this </w:t>
      </w:r>
      <w:r w:rsidR="00D462B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stock </w:t>
      </w:r>
      <w:r w:rsidR="006E3D44" w:rsidRPr="0024036F">
        <w:rPr>
          <w:rFonts w:ascii="Times New Roman" w:hAnsi="Times New Roman" w:cs="Times New Roman"/>
          <w:sz w:val="24"/>
          <w:szCs w:val="24"/>
          <w:lang w:val="en-GB"/>
        </w:rPr>
        <w:t>is subject to a</w:t>
      </w:r>
      <w:r w:rsidR="00D462B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fishing ban</w:t>
      </w:r>
      <w:r w:rsidR="00D462B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to which certain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exemption</w:t>
      </w:r>
      <w:r w:rsidR="00D462B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6E3D4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are added, as specified in </w:t>
      </w:r>
      <w:r w:rsidR="00D462B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article 9 </w:t>
      </w:r>
      <w:r w:rsidR="00AE5DEF" w:rsidRPr="0024036F">
        <w:rPr>
          <w:rFonts w:ascii="Times New Roman" w:hAnsi="Times New Roman" w:cs="Times New Roman"/>
          <w:sz w:val="24"/>
          <w:szCs w:val="24"/>
          <w:lang w:val="en-GB"/>
        </w:rPr>
        <w:t>of the Regulation on Fishing opportunities for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2018 (R(</w:t>
      </w:r>
      <w:r w:rsidR="001A23CE" w:rsidRPr="0024036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1A23CE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) n°2018/120). </w:t>
      </w:r>
      <w:r w:rsidR="00AE5DEF" w:rsidRPr="0024036F">
        <w:rPr>
          <w:rFonts w:ascii="Times New Roman" w:hAnsi="Times New Roman" w:cs="Times New Roman"/>
          <w:sz w:val="24"/>
          <w:szCs w:val="24"/>
          <w:lang w:val="en-GB"/>
        </w:rPr>
        <w:t>In additio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n, this fishery is not subject</w:t>
      </w:r>
      <w:r w:rsidR="00AE5DEF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DC0D50" w:rsidRPr="0024036F">
        <w:rPr>
          <w:rFonts w:ascii="Times New Roman" w:hAnsi="Times New Roman" w:cs="Times New Roman"/>
          <w:sz w:val="24"/>
          <w:szCs w:val="24"/>
          <w:lang w:val="en-GB"/>
        </w:rPr>
        <w:t>TAC.</w:t>
      </w:r>
    </w:p>
    <w:p w14:paraId="562CFCF3" w14:textId="77777777" w:rsidR="008B2FF8" w:rsidRPr="0024036F" w:rsidRDefault="008B2FF8" w:rsidP="008B2FF8">
      <w:pPr>
        <w:tabs>
          <w:tab w:val="left" w:pos="851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F0CE52" w14:textId="77777777" w:rsidR="00824441" w:rsidRPr="0024036F" w:rsidRDefault="00824441" w:rsidP="00C40825">
      <w:pPr>
        <w:spacing w:after="12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403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Adaptation </w:t>
      </w:r>
      <w:r w:rsidR="00AE5DEF" w:rsidRPr="0024036F">
        <w:rPr>
          <w:rFonts w:ascii="Times New Roman" w:hAnsi="Times New Roman" w:cs="Times New Roman"/>
          <w:b/>
          <w:sz w:val="28"/>
          <w:szCs w:val="28"/>
          <w:lang w:val="en-GB"/>
        </w:rPr>
        <w:t>of</w:t>
      </w:r>
      <w:r w:rsidRPr="002403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management measures </w:t>
      </w:r>
      <w:r w:rsidR="00AE5DEF" w:rsidRPr="0024036F">
        <w:rPr>
          <w:rFonts w:ascii="Times New Roman" w:hAnsi="Times New Roman" w:cs="Times New Roman"/>
          <w:b/>
          <w:sz w:val="28"/>
          <w:szCs w:val="28"/>
          <w:lang w:val="en-GB"/>
        </w:rPr>
        <w:t>for</w:t>
      </w:r>
      <w:r w:rsidRPr="002403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2019</w:t>
      </w:r>
    </w:p>
    <w:p w14:paraId="2F27E3AD" w14:textId="77777777" w:rsidR="00C3777F" w:rsidRPr="0024036F" w:rsidRDefault="00AE5DEF" w:rsidP="008B2FF8">
      <w:pPr>
        <w:spacing w:after="12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8B2FF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ICES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advice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8B2FF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the new</w:t>
      </w:r>
      <w:r w:rsidR="008B2FF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perception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8B2FF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the status of the stock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, th</w:t>
      </w:r>
      <w:r w:rsidR="00824441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e CNPMEM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reckon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s that the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477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adaptation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management measures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2477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article 9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can be considered</w:t>
      </w:r>
      <w:r w:rsidR="0032477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8562D0E" w14:textId="77777777" w:rsidR="00824441" w:rsidRPr="0024036F" w:rsidRDefault="00AE5DEF" w:rsidP="008B2FF8">
      <w:pPr>
        <w:spacing w:after="12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E702A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position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of the French industry concerns professional fisheries and is based upon</w:t>
      </w:r>
      <w:r w:rsidR="005E702A" w:rsidRPr="0024036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D0B3753" w14:textId="0F8A6281" w:rsidR="00F20BF3" w:rsidRPr="0024036F" w:rsidRDefault="00B70FD8" w:rsidP="0079399B">
      <w:pPr>
        <w:pStyle w:val="ListParagraph"/>
        <w:numPr>
          <w:ilvl w:val="0"/>
          <w:numId w:val="3"/>
        </w:numPr>
        <w:spacing w:after="240" w:line="240" w:lineRule="auto"/>
        <w:ind w:left="284" w:right="-425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The</w:t>
      </w:r>
      <w:r w:rsid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known reference points, which </w:t>
      </w:r>
      <w:r w:rsidR="00B811CB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are</w:t>
      </w:r>
      <w:r w:rsidR="003B25B8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</w:t>
      </w:r>
      <w:r w:rsid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the </w:t>
      </w:r>
      <w:r w:rsidR="00697AA4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management measures and </w:t>
      </w:r>
      <w:r w:rsidR="00D24E4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production</w:t>
      </w:r>
      <w:r w:rsidR="003B25B8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</w:t>
      </w:r>
      <w:r w:rsidR="00D24E4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in </w:t>
      </w:r>
      <w:r w:rsidR="003B25B8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2017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811CB" w:rsidRPr="0024036F">
        <w:rPr>
          <w:rFonts w:ascii="Times New Roman" w:hAnsi="Times New Roman" w:cs="Times New Roman"/>
          <w:sz w:val="24"/>
          <w:szCs w:val="24"/>
          <w:lang w:val="en-GB"/>
        </w:rPr>
        <w:t>the cumulation of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production 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>(984 tonnes)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and discards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11CB" w:rsidRPr="0024036F">
        <w:rPr>
          <w:rFonts w:ascii="Times New Roman" w:hAnsi="Times New Roman" w:cs="Times New Roman"/>
          <w:sz w:val="24"/>
          <w:szCs w:val="24"/>
          <w:lang w:val="en-GB"/>
        </w:rPr>
        <w:t>registered in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F8470F" w:rsidRPr="0024036F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is of the same 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volume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as the removal 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possibilities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recommended by ICES for 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2019.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Therefore, the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702A" w:rsidRPr="0024036F">
        <w:rPr>
          <w:rFonts w:ascii="Times New Roman" w:hAnsi="Times New Roman" w:cs="Times New Roman"/>
          <w:sz w:val="24"/>
          <w:szCs w:val="24"/>
          <w:lang w:val="en-GB"/>
        </w:rPr>
        <w:t>CNPMEM propose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E702A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that discussions for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2017</w:t>
      </w:r>
      <w:bookmarkStart w:id="0" w:name="_GoBack"/>
      <w:bookmarkEnd w:id="0"/>
      <w:r w:rsidR="00F8470F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management measures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be based on 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management measures </w:t>
      </w:r>
      <w:r w:rsidR="005E702A" w:rsidRPr="0024036F">
        <w:rPr>
          <w:rFonts w:ascii="Times New Roman" w:hAnsi="Times New Roman" w:cs="Times New Roman"/>
          <w:sz w:val="24"/>
          <w:szCs w:val="24"/>
          <w:lang w:val="en-GB"/>
        </w:rPr>
        <w:t>appli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ed in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3DE7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2017,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in particular regarding catch levels per metier</w:t>
      </w:r>
      <w:r w:rsidR="00845F9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retention of</w:t>
      </w:r>
      <w:r w:rsidR="00845F9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="00845F98" w:rsidRPr="0024036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2019</w:t>
      </w:r>
      <w:r w:rsidR="00845F9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845F9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the level of </w:t>
      </w:r>
      <w:r w:rsidR="00845F98" w:rsidRPr="0024036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845F98" w:rsidRPr="0024036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2017</w:t>
      </w:r>
      <w:r w:rsidR="00AA78EC" w:rsidRPr="002403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2561857" w14:textId="0CCBFECC" w:rsidR="00F85584" w:rsidRPr="0024036F" w:rsidRDefault="00B70FD8" w:rsidP="0079399B">
      <w:pPr>
        <w:pStyle w:val="ListParagraph"/>
        <w:numPr>
          <w:ilvl w:val="0"/>
          <w:numId w:val="3"/>
        </w:numPr>
        <w:spacing w:after="100" w:line="240" w:lineRule="auto"/>
        <w:ind w:left="284" w:right="-425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The</w:t>
      </w:r>
      <w:r w:rsidR="003B25B8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princip</w:t>
      </w:r>
      <w:r w:rsidR="006C5A3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l</w:t>
      </w:r>
      <w:r w:rsidR="003B25B8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e </w:t>
      </w:r>
      <w:r w:rsid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of</w:t>
      </w:r>
      <w:r w:rsidR="006C5A3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</w:t>
      </w:r>
      <w:r w:rsid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a </w:t>
      </w:r>
      <w:r w:rsidR="006C5A3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re</w:t>
      </w:r>
      <w:r w:rsidR="003B25B8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duction </w:t>
      </w:r>
      <w:r w:rsid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in</w:t>
      </w:r>
      <w:r w:rsidR="006C5A3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socio-economic </w:t>
      </w:r>
      <w:r w:rsidR="00697AA4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waste</w:t>
      </w:r>
      <w:r w:rsidR="00F85584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represented by </w:t>
      </w:r>
      <w:r w:rsidR="00697AA4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discards</w:t>
      </w:r>
      <w:r w:rsidR="003B25B8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of </w:t>
      </w:r>
      <w:r w:rsidR="00697AA4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sea</w:t>
      </w:r>
      <w:r w:rsidR="006C5A3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bass</w:t>
      </w:r>
      <w:r w:rsidR="003B25B8" w:rsidRPr="0024036F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of legal size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for the benefit of landings</w:t>
      </w:r>
      <w:r w:rsidR="00F85584" w:rsidRPr="002403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trawl net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>ting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Danish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seine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metiers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Indeed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quantities discarded during the first five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months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of the year 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>2018 repr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>sent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more than twice the quantities landed over the same period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More than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98%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discards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eclared in </w:t>
      </w:r>
      <w:r w:rsidR="005E702A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2017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by French vessels </w:t>
      </w:r>
      <w:r w:rsidR="0024036F">
        <w:rPr>
          <w:rFonts w:ascii="Times New Roman" w:hAnsi="Times New Roman" w:cs="Times New Roman"/>
          <w:sz w:val="24"/>
          <w:szCs w:val="24"/>
          <w:lang w:val="en-GB"/>
        </w:rPr>
        <w:t>related to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trawl net and 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Danish</w:t>
      </w:r>
      <w:r w:rsidR="00B64BF9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seine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fishing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or these metiers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where fishing opportunities are limited to</w:t>
      </w:r>
      <w:r w:rsidR="00D24E40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>unavoidable catch, t</w:t>
      </w:r>
      <w:r w:rsidR="006C5A30" w:rsidRPr="0024036F">
        <w:rPr>
          <w:rFonts w:ascii="Times New Roman" w:hAnsi="Times New Roman" w:cs="Times New Roman"/>
          <w:sz w:val="24"/>
          <w:szCs w:val="24"/>
          <w:lang w:val="en-GB"/>
        </w:rPr>
        <w:t>his implies the following</w:t>
      </w:r>
      <w:r w:rsidR="00F85584" w:rsidRPr="0024036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BF06306" w14:textId="1B3D3811" w:rsidR="00F85584" w:rsidRPr="0024036F" w:rsidRDefault="003E1A0A" w:rsidP="0079399B">
      <w:pPr>
        <w:pStyle w:val="ListParagraph"/>
        <w:numPr>
          <w:ilvl w:val="1"/>
          <w:numId w:val="3"/>
        </w:numPr>
        <w:spacing w:line="240" w:lineRule="auto"/>
        <w:ind w:left="709" w:right="-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325F38" w:rsidRPr="0024036F">
        <w:rPr>
          <w:rFonts w:ascii="Times New Roman" w:hAnsi="Times New Roman" w:cs="Times New Roman"/>
          <w:b/>
          <w:sz w:val="24"/>
          <w:szCs w:val="24"/>
          <w:lang w:val="en-GB"/>
        </w:rPr>
        <w:t>ift</w:t>
      </w:r>
      <w:r w:rsidR="0041560E" w:rsidRPr="0024036F">
        <w:rPr>
          <w:rFonts w:ascii="Times New Roman" w:hAnsi="Times New Roman" w:cs="Times New Roman"/>
          <w:b/>
          <w:sz w:val="24"/>
          <w:szCs w:val="24"/>
          <w:lang w:val="en-GB"/>
        </w:rPr>
        <w:t>ing</w:t>
      </w:r>
      <w:r w:rsidR="00325F38"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</w:t>
      </w:r>
      <w:r w:rsidR="003B25B8"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ban on </w:t>
      </w:r>
      <w:r w:rsidR="0041560E" w:rsidRPr="0024036F">
        <w:rPr>
          <w:rFonts w:ascii="Times New Roman" w:hAnsi="Times New Roman" w:cs="Times New Roman"/>
          <w:b/>
          <w:sz w:val="24"/>
          <w:szCs w:val="24"/>
          <w:lang w:val="en-GB"/>
        </w:rPr>
        <w:t>catches</w:t>
      </w:r>
      <w:r w:rsidR="00325F38"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</w:t>
      </w:r>
      <w:r w:rsidR="00D24E40"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b/>
          <w:sz w:val="24"/>
          <w:szCs w:val="24"/>
          <w:lang w:val="en-GB"/>
        </w:rPr>
        <w:t>February and March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>the unavoidable nature of catches does not cease during the year, in particular during this period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shows the highest volumes of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discards</w:t>
      </w:r>
      <w:r w:rsidR="003B25B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126 t 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March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2018 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n France)</w:t>
      </w:r>
      <w:r w:rsidR="005B3E9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The lack of</w:t>
      </w:r>
      <w:r w:rsidR="005B3E9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discard</w:t>
      </w:r>
      <w:r w:rsidR="005B3E9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declarations </w:t>
      </w:r>
      <w:r w:rsidR="00C825A8">
        <w:rPr>
          <w:rFonts w:ascii="Times New Roman" w:hAnsi="Times New Roman" w:cs="Times New Roman"/>
          <w:sz w:val="24"/>
          <w:szCs w:val="24"/>
          <w:lang w:val="en-GB"/>
        </w:rPr>
        <w:t>by the set net metiers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does not allow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one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to consider such an evolution for these metiers</w:t>
      </w:r>
      <w:r w:rsidR="00F85584" w:rsidRPr="0024036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013B779" w14:textId="77777777" w:rsidR="00F85584" w:rsidRPr="0024036F" w:rsidRDefault="003E1A0A" w:rsidP="0079399B">
      <w:pPr>
        <w:pStyle w:val="ListParagraph"/>
        <w:numPr>
          <w:ilvl w:val="1"/>
          <w:numId w:val="3"/>
        </w:numPr>
        <w:spacing w:line="240" w:lineRule="auto"/>
        <w:ind w:left="709" w:right="-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b/>
          <w:sz w:val="24"/>
          <w:szCs w:val="24"/>
          <w:lang w:val="en-GB"/>
        </w:rPr>
        <w:t>Maint</w:t>
      </w:r>
      <w:r w:rsidR="00325F38" w:rsidRPr="0024036F">
        <w:rPr>
          <w:rFonts w:ascii="Times New Roman" w:hAnsi="Times New Roman" w:cs="Times New Roman"/>
          <w:b/>
          <w:sz w:val="24"/>
          <w:szCs w:val="24"/>
          <w:lang w:val="en-GB"/>
        </w:rPr>
        <w:t>ain</w:t>
      </w:r>
      <w:r w:rsidR="0041560E" w:rsidRPr="0024036F">
        <w:rPr>
          <w:rFonts w:ascii="Times New Roman" w:hAnsi="Times New Roman" w:cs="Times New Roman"/>
          <w:b/>
          <w:sz w:val="24"/>
          <w:szCs w:val="24"/>
          <w:lang w:val="en-GB"/>
        </w:rPr>
        <w:t>ing</w:t>
      </w:r>
      <w:r w:rsidR="00325F38"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 individual landing restriction set according to a percentage of total catch, 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>to ban any targeted fishing practice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85584" w:rsidRPr="0024036F">
        <w:rPr>
          <w:rFonts w:ascii="Times New Roman" w:hAnsi="Times New Roman" w:cs="Times New Roman"/>
          <w:sz w:val="24"/>
          <w:szCs w:val="24"/>
          <w:lang w:val="en-GB"/>
        </w:rPr>
        <w:t>, expr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essed not by day but by tide,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better</w:t>
      </w:r>
      <w:r w:rsidR="00325F3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adapted to these metiers and easier to monitor</w:t>
      </w:r>
      <w:r w:rsidR="00F85584" w:rsidRPr="0024036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F7262B7" w14:textId="77777777" w:rsidR="009F3DE7" w:rsidRPr="0024036F" w:rsidRDefault="00325F38" w:rsidP="0079399B">
      <w:pPr>
        <w:pStyle w:val="ListParagraph"/>
        <w:numPr>
          <w:ilvl w:val="1"/>
          <w:numId w:val="3"/>
        </w:numPr>
        <w:spacing w:after="240" w:line="240" w:lineRule="auto"/>
        <w:ind w:left="709" w:right="-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b/>
          <w:sz w:val="24"/>
          <w:szCs w:val="24"/>
          <w:lang w:val="en-GB"/>
        </w:rPr>
        <w:t>Set</w:t>
      </w:r>
      <w:r w:rsidR="0041560E" w:rsidRPr="0024036F">
        <w:rPr>
          <w:rFonts w:ascii="Times New Roman" w:hAnsi="Times New Roman" w:cs="Times New Roman"/>
          <w:b/>
          <w:sz w:val="24"/>
          <w:szCs w:val="24"/>
          <w:lang w:val="en-GB"/>
        </w:rPr>
        <w:t>ting,</w:t>
      </w:r>
      <w:r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addition</w:t>
      </w:r>
      <w:r w:rsidR="0041560E" w:rsidRPr="0024036F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 </w:t>
      </w:r>
      <w:r w:rsidR="0041560E" w:rsidRPr="0024036F">
        <w:rPr>
          <w:rFonts w:ascii="Times New Roman" w:hAnsi="Times New Roman" w:cs="Times New Roman"/>
          <w:b/>
          <w:sz w:val="24"/>
          <w:szCs w:val="24"/>
          <w:lang w:val="en-GB"/>
        </w:rPr>
        <w:t>annualis</w:t>
      </w:r>
      <w:r w:rsidR="00697AA4" w:rsidRPr="0024036F">
        <w:rPr>
          <w:rFonts w:ascii="Times New Roman" w:hAnsi="Times New Roman" w:cs="Times New Roman"/>
          <w:b/>
          <w:sz w:val="24"/>
          <w:szCs w:val="24"/>
          <w:lang w:val="en-GB"/>
        </w:rPr>
        <w:t>ed individual landing restriction</w:t>
      </w:r>
      <w:r w:rsidRPr="002403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bringing more flexibility and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consistency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considering the diversity of </w:t>
      </w:r>
      <w:r w:rsidR="009E77D8" w:rsidRPr="0024036F">
        <w:rPr>
          <w:rFonts w:ascii="Times New Roman" w:hAnsi="Times New Roman" w:cs="Times New Roman"/>
          <w:sz w:val="24"/>
          <w:szCs w:val="24"/>
          <w:lang w:val="en-GB"/>
        </w:rPr>
        <w:t>situations</w:t>
      </w:r>
      <w:r w:rsidR="005B3E93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in the area</w:t>
      </w:r>
      <w:r w:rsidR="00CF65CA" w:rsidRPr="002403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41E471" w14:textId="4DEE1982" w:rsidR="009F3DE7" w:rsidRPr="0024036F" w:rsidRDefault="00325F38" w:rsidP="00EB2E2B">
      <w:pPr>
        <w:pStyle w:val="ListParagraph"/>
        <w:numPr>
          <w:ilvl w:val="0"/>
          <w:numId w:val="3"/>
        </w:numPr>
        <w:spacing w:after="240" w:line="240" w:lineRule="auto"/>
        <w:ind w:left="426" w:right="-42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Maintaining the</w:t>
      </w:r>
      <w:r w:rsidR="009E77D8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</w:t>
      </w:r>
      <w:r w:rsidR="0041560E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annualis</w:t>
      </w:r>
      <w:r w:rsidR="00697AA4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ed individual landing restrictions and </w:t>
      </w:r>
      <w:r w:rsidR="00310BA6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overall</w:t>
      </w:r>
      <w:r w:rsidR="009F3DE7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restrictions of capacity and </w:t>
      </w:r>
      <w:r w:rsidR="001A40A0" w:rsidRPr="0024036F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effort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for set net and hook and line metiers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that are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currently accepted</w:t>
      </w:r>
      <w:r w:rsidR="009F3DE7" w:rsidRPr="002403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E59458" w14:textId="77777777" w:rsidR="007E55DD" w:rsidRPr="0024036F" w:rsidRDefault="00325F38" w:rsidP="00EB2E2B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strict </w:t>
      </w:r>
      <w:r w:rsidR="009E77D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application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of these principles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results in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proposal</w:t>
      </w:r>
      <w:r w:rsidR="009E77D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9E77D8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measure</w:t>
      </w:r>
      <w:r w:rsidR="009E77D8" w:rsidRPr="002403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individual quantitative landing restrictions by metier for 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41560E" w:rsidRPr="002403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set out in the following table</w:t>
      </w:r>
      <w:r w:rsidR="009E77D8" w:rsidRPr="0024036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678F73F" w14:textId="77777777" w:rsidR="007E55DD" w:rsidRPr="0024036F" w:rsidRDefault="007E55DD" w:rsidP="004B028B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885"/>
        <w:gridCol w:w="2566"/>
        <w:gridCol w:w="2637"/>
        <w:gridCol w:w="2977"/>
      </w:tblGrid>
      <w:tr w:rsidR="002F6CD6" w:rsidRPr="0024036F" w14:paraId="08EF08E8" w14:textId="77777777" w:rsidTr="0079399B">
        <w:trPr>
          <w:trHeight w:val="463"/>
        </w:trPr>
        <w:tc>
          <w:tcPr>
            <w:tcW w:w="1885" w:type="dxa"/>
            <w:vAlign w:val="center"/>
          </w:tcPr>
          <w:p w14:paraId="09B1E85C" w14:textId="77777777" w:rsidR="006D3720" w:rsidRPr="0024036F" w:rsidRDefault="006D3720" w:rsidP="00EB2E2B">
            <w:pPr>
              <w:ind w:left="-12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566" w:type="dxa"/>
            <w:vAlign w:val="center"/>
          </w:tcPr>
          <w:p w14:paraId="092BB4F1" w14:textId="77777777" w:rsidR="006D3720" w:rsidRPr="0024036F" w:rsidRDefault="0041560E" w:rsidP="0041560E">
            <w:pPr>
              <w:ind w:right="-19" w:hanging="10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2017 </w:t>
            </w:r>
            <w:r w:rsidR="00697AA4"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Measure</w:t>
            </w:r>
            <w:r w:rsidR="006D3720"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 </w:t>
            </w:r>
          </w:p>
        </w:tc>
        <w:tc>
          <w:tcPr>
            <w:tcW w:w="2637" w:type="dxa"/>
            <w:vAlign w:val="center"/>
          </w:tcPr>
          <w:p w14:paraId="6CC938C5" w14:textId="77777777" w:rsidR="006D3720" w:rsidRPr="0024036F" w:rsidRDefault="0041560E" w:rsidP="0041560E">
            <w:pPr>
              <w:ind w:left="-111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2018 </w:t>
            </w:r>
            <w:r w:rsidR="00697AA4"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Measure</w:t>
            </w:r>
            <w:r w:rsidR="006D3720"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 </w:t>
            </w:r>
          </w:p>
        </w:tc>
        <w:tc>
          <w:tcPr>
            <w:tcW w:w="2977" w:type="dxa"/>
            <w:vAlign w:val="center"/>
          </w:tcPr>
          <w:p w14:paraId="7E93D8BF" w14:textId="77777777" w:rsidR="006D3720" w:rsidRPr="0024036F" w:rsidRDefault="0041560E" w:rsidP="0041560E">
            <w:pPr>
              <w:ind w:left="-103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2019 </w:t>
            </w:r>
            <w:r w:rsidR="00697AA4"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Proposal</w:t>
            </w:r>
            <w:r w:rsidR="006D3720"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 </w:t>
            </w:r>
          </w:p>
        </w:tc>
      </w:tr>
      <w:tr w:rsidR="002F6CD6" w:rsidRPr="0024036F" w14:paraId="00EDC4EC" w14:textId="77777777" w:rsidTr="0079399B">
        <w:trPr>
          <w:trHeight w:val="843"/>
        </w:trPr>
        <w:tc>
          <w:tcPr>
            <w:tcW w:w="1885" w:type="dxa"/>
            <w:vAlign w:val="center"/>
          </w:tcPr>
          <w:p w14:paraId="553566F3" w14:textId="77777777" w:rsidR="007E55DD" w:rsidRPr="0024036F" w:rsidRDefault="00325F38" w:rsidP="00EB2E2B">
            <w:pPr>
              <w:ind w:left="-12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Hook and line metiers</w:t>
            </w:r>
          </w:p>
        </w:tc>
        <w:tc>
          <w:tcPr>
            <w:tcW w:w="2566" w:type="dxa"/>
            <w:vAlign w:val="center"/>
          </w:tcPr>
          <w:p w14:paraId="7CBB5ABB" w14:textId="77777777" w:rsidR="007E55DD" w:rsidRPr="0024036F" w:rsidRDefault="00697AA4" w:rsidP="00EB2E2B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  <w:r w:rsidR="007E55D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  <w:r w:rsidR="00D24E40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5F3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</w:t>
            </w:r>
          </w:p>
          <w:p w14:paraId="3A94ABB3" w14:textId="77777777" w:rsidR="007E55DD" w:rsidRPr="0024036F" w:rsidRDefault="007E55DD" w:rsidP="00EB2E2B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t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/year</w:t>
            </w:r>
          </w:p>
          <w:p w14:paraId="748BBDED" w14:textId="61855268" w:rsidR="007E55DD" w:rsidRPr="0024036F" w:rsidRDefault="00985D91" w:rsidP="00EB2E2B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 ceiling</w:t>
            </w:r>
          </w:p>
        </w:tc>
        <w:tc>
          <w:tcPr>
            <w:tcW w:w="2637" w:type="dxa"/>
            <w:vAlign w:val="center"/>
          </w:tcPr>
          <w:p w14:paraId="30022D60" w14:textId="77777777" w:rsidR="007E55DD" w:rsidRPr="0024036F" w:rsidRDefault="00697AA4" w:rsidP="00EB2E2B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  <w:r w:rsidR="007E55D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  <w:r w:rsidR="00D24E40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</w:t>
            </w:r>
          </w:p>
          <w:p w14:paraId="5E939483" w14:textId="77777777" w:rsidR="007E55DD" w:rsidRPr="0024036F" w:rsidRDefault="007E55DD" w:rsidP="00EB2E2B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t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/year</w:t>
            </w:r>
          </w:p>
          <w:p w14:paraId="5EB56138" w14:textId="20CE01C2" w:rsidR="007E55DD" w:rsidRPr="0024036F" w:rsidRDefault="00985D91" w:rsidP="00EB2E2B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 ceiling</w:t>
            </w:r>
          </w:p>
        </w:tc>
        <w:tc>
          <w:tcPr>
            <w:tcW w:w="2977" w:type="dxa"/>
            <w:vAlign w:val="center"/>
          </w:tcPr>
          <w:p w14:paraId="6F5F964E" w14:textId="77777777" w:rsidR="007E55DD" w:rsidRPr="0024036F" w:rsidRDefault="00697AA4" w:rsidP="00EB2E2B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  <w:r w:rsidR="007E55D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  <w:r w:rsidR="00D24E40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</w:t>
            </w:r>
          </w:p>
          <w:p w14:paraId="41161CEE" w14:textId="77777777" w:rsidR="007E55DD" w:rsidRPr="0024036F" w:rsidRDefault="007E55DD" w:rsidP="00EB2E2B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t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/year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27516"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(</w:t>
            </w:r>
            <w:r w:rsidR="0041560E"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o</w:t>
            </w:r>
            <w:r w:rsidR="00697AA4"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 xml:space="preserve">r </w:t>
            </w:r>
            <w:r w:rsidR="002F6CD6"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6-</w:t>
            </w:r>
            <w:r w:rsidR="00B27516"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7</w:t>
            </w:r>
            <w:r w:rsidR="00C5572A"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 xml:space="preserve"> </w:t>
            </w:r>
            <w:r w:rsidR="00324778"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t</w:t>
            </w:r>
            <w:r w:rsidR="00697AA4"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/year</w:t>
            </w:r>
            <w:r w:rsidR="00B27516" w:rsidRPr="0024036F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  <w:lang w:val="en-GB"/>
              </w:rPr>
              <w:t>)</w:t>
            </w:r>
          </w:p>
          <w:p w14:paraId="0860B433" w14:textId="44A775D9" w:rsidR="007E55DD" w:rsidRPr="0024036F" w:rsidRDefault="00985D91" w:rsidP="00EB2E2B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 ceiling</w:t>
            </w:r>
          </w:p>
        </w:tc>
      </w:tr>
      <w:tr w:rsidR="002F6CD6" w:rsidRPr="0024036F" w14:paraId="546F1336" w14:textId="77777777" w:rsidTr="0079399B">
        <w:trPr>
          <w:trHeight w:val="969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CA854A5" w14:textId="77777777" w:rsidR="007E55DD" w:rsidRPr="0024036F" w:rsidRDefault="00EF215F" w:rsidP="00EB2E2B">
            <w:pPr>
              <w:ind w:left="-12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Set net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20C41FA7" w14:textId="77777777" w:rsidR="007E55DD" w:rsidRPr="0024036F" w:rsidRDefault="007E55DD" w:rsidP="00EB2E2B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 Kg/</w:t>
            </w:r>
            <w:r w:rsidR="0041560E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</w:t>
            </w:r>
          </w:p>
          <w:p w14:paraId="1EFF0337" w14:textId="294C9E86" w:rsidR="007E55DD" w:rsidRPr="0024036F" w:rsidRDefault="00985D91" w:rsidP="00EB2E2B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 ceiling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382B1BA3" w14:textId="77777777" w:rsidR="007E55DD" w:rsidRPr="0024036F" w:rsidRDefault="00697AA4" w:rsidP="00EB2E2B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  <w:r w:rsidR="007E55D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  <w:r w:rsidR="00D24E40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</w:t>
            </w:r>
          </w:p>
          <w:p w14:paraId="68D02111" w14:textId="77777777" w:rsidR="007E55DD" w:rsidRPr="0024036F" w:rsidRDefault="0041560E" w:rsidP="00EB2E2B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7E55D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t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/year</w:t>
            </w:r>
          </w:p>
          <w:p w14:paraId="139175C0" w14:textId="3539F207" w:rsidR="007E55DD" w:rsidRPr="0024036F" w:rsidRDefault="00985D91" w:rsidP="00EB2E2B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 ceiling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E5F01CB" w14:textId="77777777" w:rsidR="007E55DD" w:rsidRPr="0024036F" w:rsidRDefault="00697AA4" w:rsidP="00EB2E2B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  <w:r w:rsidR="007E55D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  <w:r w:rsidR="00D24E40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</w:t>
            </w:r>
          </w:p>
          <w:p w14:paraId="2DD4A7AF" w14:textId="77777777" w:rsidR="007E55DD" w:rsidRPr="0024036F" w:rsidRDefault="005B3E93" w:rsidP="00EB2E2B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7E55D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/year</w:t>
            </w:r>
            <w:r w:rsidR="0015153B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i.e.</w:t>
            </w:r>
            <w:r w:rsidR="0015153B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0</w:t>
            </w:r>
            <w:r w:rsidR="0041560E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5153B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t</w:t>
            </w:r>
            <w:r w:rsidR="0041560E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5153B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×</w:t>
            </w:r>
            <w:r w:rsidR="0041560E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5153B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12)</w:t>
            </w:r>
          </w:p>
          <w:p w14:paraId="52319D5E" w14:textId="083E3482" w:rsidR="007E55DD" w:rsidRPr="0024036F" w:rsidRDefault="00985D91" w:rsidP="00EB2E2B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 ceiling</w:t>
            </w:r>
          </w:p>
        </w:tc>
      </w:tr>
      <w:tr w:rsidR="002F6CD6" w:rsidRPr="0024036F" w14:paraId="213791F6" w14:textId="77777777" w:rsidTr="0079399B">
        <w:trPr>
          <w:trHeight w:val="969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4440E651" w14:textId="77777777" w:rsidR="00324778" w:rsidRPr="0024036F" w:rsidRDefault="00697AA4" w:rsidP="00697AA4">
            <w:pPr>
              <w:ind w:left="-12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Trawl net and Danish seine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08D09A41" w14:textId="77777777" w:rsidR="00324778" w:rsidRPr="0024036F" w:rsidRDefault="00324778" w:rsidP="00324778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3 % 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catch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day</w:t>
            </w:r>
          </w:p>
          <w:p w14:paraId="45BA6783" w14:textId="77777777" w:rsidR="00324778" w:rsidRPr="0024036F" w:rsidRDefault="00324778" w:rsidP="00324778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 Kg/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1B21D366" w14:textId="77777777" w:rsidR="00324778" w:rsidRPr="0024036F" w:rsidRDefault="00697AA4" w:rsidP="00324778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  <w:r w:rsidR="00D24E40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</w:t>
            </w:r>
          </w:p>
          <w:p w14:paraId="7BB7BC7A" w14:textId="77777777" w:rsidR="00EF215F" w:rsidRPr="0024036F" w:rsidRDefault="00324778" w:rsidP="00EF215F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1% 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catch/day</w:t>
            </w:r>
          </w:p>
          <w:p w14:paraId="52C69F03" w14:textId="77777777" w:rsidR="00324778" w:rsidRPr="0024036F" w:rsidRDefault="00324778" w:rsidP="00324778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 Kg/</w:t>
            </w:r>
            <w:r w:rsidR="00225A56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trawl net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8CF1853" w14:textId="77777777" w:rsidR="00324778" w:rsidRPr="0024036F" w:rsidRDefault="00324778" w:rsidP="00324778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 Kg/</w:t>
            </w:r>
            <w:r w:rsidR="00225A56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seine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BE4E0A6" w14:textId="77777777" w:rsidR="00324778" w:rsidRPr="0024036F" w:rsidRDefault="00324778" w:rsidP="00EF215F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3% </w:t>
            </w:r>
            <w:r w:rsidR="00EF215F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catch/tide</w:t>
            </w:r>
          </w:p>
          <w:p w14:paraId="068B1880" w14:textId="77777777" w:rsidR="00324778" w:rsidRPr="0024036F" w:rsidRDefault="00225A56" w:rsidP="00EF215F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t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/year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97AA4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i.e.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0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t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×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12)</w:t>
            </w:r>
          </w:p>
        </w:tc>
      </w:tr>
      <w:tr w:rsidR="002F6CD6" w:rsidRPr="0024036F" w14:paraId="632A8189" w14:textId="77777777" w:rsidTr="0079399B">
        <w:trPr>
          <w:trHeight w:val="839"/>
        </w:trPr>
        <w:tc>
          <w:tcPr>
            <w:tcW w:w="1885" w:type="dxa"/>
            <w:tcBorders>
              <w:bottom w:val="thickThinLargeGap" w:sz="24" w:space="0" w:color="auto"/>
            </w:tcBorders>
            <w:vAlign w:val="center"/>
          </w:tcPr>
          <w:p w14:paraId="6BE74B54" w14:textId="77777777" w:rsidR="00324778" w:rsidRPr="0024036F" w:rsidRDefault="00EF215F" w:rsidP="00324778">
            <w:pPr>
              <w:ind w:left="-12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Professional fishing from the shore</w:t>
            </w:r>
          </w:p>
        </w:tc>
        <w:tc>
          <w:tcPr>
            <w:tcW w:w="2566" w:type="dxa"/>
            <w:tcBorders>
              <w:bottom w:val="thickThinLargeGap" w:sz="24" w:space="0" w:color="auto"/>
            </w:tcBorders>
            <w:vAlign w:val="center"/>
          </w:tcPr>
          <w:p w14:paraId="2341C1DD" w14:textId="77777777" w:rsidR="00324778" w:rsidRPr="0024036F" w:rsidRDefault="00697AA4" w:rsidP="00324778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ban</w:t>
            </w:r>
          </w:p>
        </w:tc>
        <w:tc>
          <w:tcPr>
            <w:tcW w:w="2637" w:type="dxa"/>
            <w:tcBorders>
              <w:bottom w:val="thickThinLargeGap" w:sz="24" w:space="0" w:color="auto"/>
            </w:tcBorders>
            <w:vAlign w:val="center"/>
          </w:tcPr>
          <w:p w14:paraId="2CB707F0" w14:textId="77777777" w:rsidR="00324778" w:rsidRPr="0024036F" w:rsidRDefault="00697AA4" w:rsidP="00324778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ban</w:t>
            </w:r>
          </w:p>
        </w:tc>
        <w:tc>
          <w:tcPr>
            <w:tcW w:w="2977" w:type="dxa"/>
            <w:tcBorders>
              <w:bottom w:val="thickThinLargeGap" w:sz="24" w:space="0" w:color="auto"/>
            </w:tcBorders>
            <w:vAlign w:val="center"/>
          </w:tcPr>
          <w:p w14:paraId="04B85510" w14:textId="77777777" w:rsidR="0079399B" w:rsidRPr="0024036F" w:rsidRDefault="00697AA4" w:rsidP="00324778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ban</w:t>
            </w:r>
          </w:p>
          <w:p w14:paraId="2EA3F63E" w14:textId="77777777" w:rsidR="00324778" w:rsidRPr="0024036F" w:rsidRDefault="00697AA4" w:rsidP="00324778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 xml:space="preserve"> or exemption</w:t>
            </w:r>
            <w:r w:rsidR="00B27516" w:rsidRPr="0024036F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79399B" w:rsidRPr="0024036F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(</w:t>
            </w:r>
            <w:r w:rsidRPr="0024036F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tbd</w:t>
            </w:r>
            <w:r w:rsidR="00990DD5" w:rsidRPr="0024036F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)</w:t>
            </w:r>
          </w:p>
        </w:tc>
      </w:tr>
      <w:tr w:rsidR="002F6CD6" w:rsidRPr="0024036F" w14:paraId="5BD3C4C8" w14:textId="77777777" w:rsidTr="0079399B">
        <w:trPr>
          <w:trHeight w:val="701"/>
        </w:trPr>
        <w:tc>
          <w:tcPr>
            <w:tcW w:w="1885" w:type="dxa"/>
            <w:tcBorders>
              <w:top w:val="thickThinLargeGap" w:sz="24" w:space="0" w:color="auto"/>
            </w:tcBorders>
          </w:tcPr>
          <w:p w14:paraId="70B85CE0" w14:textId="6E269237" w:rsidR="00324778" w:rsidRPr="0024036F" w:rsidRDefault="00697AA4" w:rsidP="00324778">
            <w:pPr>
              <w:ind w:left="-12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ICES Advice</w:t>
            </w:r>
            <w:r w:rsidR="00225A56" w:rsidRPr="002403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985D91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</w:t>
            </w:r>
            <w:r w:rsidR="00225A56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essional</w:t>
            </w:r>
            <w:r w:rsidR="00086F4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 w:rsidR="00086F4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recreation</w:t>
            </w:r>
            <w:r w:rsidR="00086F4D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</w:t>
            </w:r>
            <w:r w:rsidR="00324778"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566" w:type="dxa"/>
            <w:tcBorders>
              <w:top w:val="thickThinLargeGap" w:sz="24" w:space="0" w:color="auto"/>
            </w:tcBorders>
            <w:vAlign w:val="center"/>
          </w:tcPr>
          <w:p w14:paraId="6BD00418" w14:textId="77777777" w:rsidR="00324778" w:rsidRPr="0024036F" w:rsidRDefault="00697AA4" w:rsidP="00324778">
            <w:pPr>
              <w:ind w:right="-1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ban</w:t>
            </w:r>
          </w:p>
        </w:tc>
        <w:tc>
          <w:tcPr>
            <w:tcW w:w="2637" w:type="dxa"/>
            <w:tcBorders>
              <w:top w:val="thickThinLargeGap" w:sz="24" w:space="0" w:color="auto"/>
            </w:tcBorders>
            <w:vAlign w:val="center"/>
          </w:tcPr>
          <w:p w14:paraId="2639FD56" w14:textId="77777777" w:rsidR="00324778" w:rsidRPr="0024036F" w:rsidRDefault="00324778" w:rsidP="00324778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880 tonnes</w:t>
            </w:r>
          </w:p>
        </w:tc>
        <w:tc>
          <w:tcPr>
            <w:tcW w:w="2977" w:type="dxa"/>
            <w:tcBorders>
              <w:top w:val="thickThinLargeGap" w:sz="24" w:space="0" w:color="auto"/>
            </w:tcBorders>
            <w:vAlign w:val="center"/>
          </w:tcPr>
          <w:p w14:paraId="19B8A662" w14:textId="77777777" w:rsidR="00324778" w:rsidRPr="0024036F" w:rsidRDefault="00324778" w:rsidP="00324778">
            <w:pPr>
              <w:ind w:right="-11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3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1789 tonnes</w:t>
            </w:r>
          </w:p>
        </w:tc>
      </w:tr>
    </w:tbl>
    <w:p w14:paraId="66311BEC" w14:textId="77777777" w:rsidR="007E55DD" w:rsidRPr="0024036F" w:rsidRDefault="007E55DD" w:rsidP="002F6CD6">
      <w:pPr>
        <w:spacing w:after="240" w:line="240" w:lineRule="auto"/>
        <w:ind w:right="-425"/>
        <w:rPr>
          <w:rFonts w:ascii="Times New Roman" w:hAnsi="Times New Roman" w:cs="Times New Roman"/>
          <w:sz w:val="24"/>
          <w:szCs w:val="24"/>
          <w:lang w:val="en-GB"/>
        </w:rPr>
      </w:pPr>
    </w:p>
    <w:p w14:paraId="050922D3" w14:textId="5F31B916" w:rsidR="0079399B" w:rsidRPr="0024036F" w:rsidRDefault="00EF215F" w:rsidP="0079399B">
      <w:pPr>
        <w:spacing w:after="24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2C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primary 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>objective of the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French industry 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to reduce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discards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of sea bass by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trawl net and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Danish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seine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metiers. According to the CNPMEM, the 2019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proposal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for these met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iers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represent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an 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acceptable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compromise, given the reality of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discards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n France (368 tonnes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>n 2017).</w:t>
      </w:r>
    </w:p>
    <w:p w14:paraId="4A89B651" w14:textId="4A300CAB" w:rsidR="0079399B" w:rsidRPr="001622DF" w:rsidRDefault="00EF215F" w:rsidP="006B30B9">
      <w:pPr>
        <w:spacing w:after="6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Insofar as the number of French vessels 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landed more than </w:t>
      </w:r>
      <w:r w:rsidR="0079399B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7 tonnes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sea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bass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caught by line and hook metiers in 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2017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was very low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the French industry is considering the possibility 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>only support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 reduced increase of the individual catch restriction to 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>7 t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/year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for these metiers </w:t>
      </w:r>
      <w:r w:rsidR="000456D7" w:rsidRPr="0024036F">
        <w:rPr>
          <w:rFonts w:ascii="Times New Roman" w:hAnsi="Times New Roman" w:cs="Times New Roman"/>
          <w:sz w:val="24"/>
          <w:szCs w:val="24"/>
          <w:lang w:val="en-GB"/>
        </w:rPr>
        <w:t>in return for a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456D7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opening of fishing opportunities 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>(a</w:t>
      </w:r>
      <w:r w:rsidR="000456D7" w:rsidRPr="0024036F">
        <w:rPr>
          <w:rFonts w:ascii="Times New Roman" w:hAnsi="Times New Roman" w:cs="Times New Roman"/>
          <w:sz w:val="24"/>
          <w:szCs w:val="24"/>
          <w:lang w:val="en-GB"/>
        </w:rPr>
        <w:t>t least equivalent to those applied to recreati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>onal fishing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0456D7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for professional </w:t>
      </w:r>
      <w:r w:rsidR="00985D91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shore </w:t>
      </w:r>
      <w:r w:rsidR="000456D7" w:rsidRPr="0024036F">
        <w:rPr>
          <w:rFonts w:ascii="Times New Roman" w:hAnsi="Times New Roman" w:cs="Times New Roman"/>
          <w:sz w:val="24"/>
          <w:szCs w:val="24"/>
          <w:lang w:val="en-GB"/>
        </w:rPr>
        <w:t>fishermen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56D7" w:rsidRPr="0024036F">
        <w:rPr>
          <w:rFonts w:ascii="Times New Roman" w:hAnsi="Times New Roman" w:cs="Times New Roman"/>
          <w:sz w:val="24"/>
          <w:szCs w:val="24"/>
          <w:lang w:val="en-GB"/>
        </w:rPr>
        <w:t>However, this opening should not weaken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03B2C" w:rsidRPr="0024036F">
        <w:rPr>
          <w:rFonts w:ascii="Times New Roman" w:hAnsi="Times New Roman" w:cs="Times New Roman"/>
          <w:sz w:val="24"/>
          <w:szCs w:val="24"/>
          <w:lang w:val="en-GB"/>
        </w:rPr>
        <w:t>primary objective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aim</w:t>
      </w:r>
      <w:r w:rsidR="00E03B2C" w:rsidRPr="0024036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="00E03B2C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reducing </w:t>
      </w:r>
      <w:r w:rsidR="00697AA4" w:rsidRPr="0024036F">
        <w:rPr>
          <w:rFonts w:ascii="Times New Roman" w:hAnsi="Times New Roman" w:cs="Times New Roman"/>
          <w:sz w:val="24"/>
          <w:szCs w:val="24"/>
          <w:lang w:val="en-GB"/>
        </w:rPr>
        <w:t>discards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>djust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>ments</w:t>
      </w:r>
      <w:r w:rsidR="00E03B2C" w:rsidRPr="0024036F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appear </w:t>
      </w:r>
      <w:r w:rsidR="00086F4D" w:rsidRPr="0024036F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in </w:t>
      </w:r>
      <w:r w:rsidR="002F6CD6" w:rsidRPr="0024036F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bl</w:t>
      </w:r>
      <w:r w:rsidR="00086F4D" w:rsidRPr="0024036F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ue</w:t>
      </w:r>
      <w:r w:rsidR="002F6CD6" w:rsidRPr="0024036F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>in the table</w:t>
      </w:r>
      <w:r w:rsidR="00E03B2C" w:rsidRPr="002403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86F4D" w:rsidRPr="0024036F">
        <w:rPr>
          <w:rFonts w:ascii="Times New Roman" w:hAnsi="Times New Roman" w:cs="Times New Roman"/>
          <w:sz w:val="24"/>
          <w:szCs w:val="24"/>
          <w:lang w:val="en-GB"/>
        </w:rPr>
        <w:t xml:space="preserve"> are still being discussed within the </w:t>
      </w:r>
      <w:r w:rsidR="002F6CD6" w:rsidRPr="0024036F">
        <w:rPr>
          <w:rFonts w:ascii="Times New Roman" w:hAnsi="Times New Roman" w:cs="Times New Roman"/>
          <w:sz w:val="24"/>
          <w:szCs w:val="24"/>
          <w:lang w:val="en-GB"/>
        </w:rPr>
        <w:t>CNPMEM.</w:t>
      </w:r>
      <w:r w:rsidR="002F6CD6" w:rsidRPr="001622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0242E13" w14:textId="77777777" w:rsidR="00014EDF" w:rsidRPr="001622DF" w:rsidRDefault="00014EDF" w:rsidP="006B30B9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14EDF" w:rsidRPr="001622DF" w:rsidSect="004334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F1AF" w14:textId="77777777" w:rsidR="0024036F" w:rsidRDefault="0024036F" w:rsidP="003E1A0A">
      <w:pPr>
        <w:spacing w:after="0" w:line="240" w:lineRule="auto"/>
      </w:pPr>
      <w:r>
        <w:separator/>
      </w:r>
    </w:p>
  </w:endnote>
  <w:endnote w:type="continuationSeparator" w:id="0">
    <w:p w14:paraId="3B5D8035" w14:textId="77777777" w:rsidR="0024036F" w:rsidRDefault="0024036F" w:rsidP="003E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0AD1" w14:textId="77777777" w:rsidR="0024036F" w:rsidRDefault="0024036F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4384" behindDoc="1" locked="0" layoutInCell="1" allowOverlap="1" wp14:anchorId="1FAB043C" wp14:editId="7ECE3A40">
          <wp:simplePos x="0" y="0"/>
          <wp:positionH relativeFrom="column">
            <wp:posOffset>-480695</wp:posOffset>
          </wp:positionH>
          <wp:positionV relativeFrom="paragraph">
            <wp:posOffset>-194310</wp:posOffset>
          </wp:positionV>
          <wp:extent cx="6828790" cy="6572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D86D3" w14:textId="77777777" w:rsidR="0024036F" w:rsidRDefault="0024036F" w:rsidP="003E1A0A">
      <w:pPr>
        <w:spacing w:after="0" w:line="240" w:lineRule="auto"/>
      </w:pPr>
      <w:r>
        <w:separator/>
      </w:r>
    </w:p>
  </w:footnote>
  <w:footnote w:type="continuationSeparator" w:id="0">
    <w:p w14:paraId="6B4ABC79" w14:textId="77777777" w:rsidR="0024036F" w:rsidRDefault="0024036F" w:rsidP="003E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70E"/>
    <w:multiLevelType w:val="hybridMultilevel"/>
    <w:tmpl w:val="EF948A3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F7184"/>
    <w:multiLevelType w:val="hybridMultilevel"/>
    <w:tmpl w:val="0EFE7A96"/>
    <w:lvl w:ilvl="0" w:tplc="91F63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34691"/>
    <w:multiLevelType w:val="hybridMultilevel"/>
    <w:tmpl w:val="0AA018D2"/>
    <w:lvl w:ilvl="0" w:tplc="1736E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E42DD"/>
    <w:multiLevelType w:val="hybridMultilevel"/>
    <w:tmpl w:val="D2A22AB0"/>
    <w:lvl w:ilvl="0" w:tplc="E056CC6C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F"/>
    <w:rsid w:val="00004AEA"/>
    <w:rsid w:val="00012A15"/>
    <w:rsid w:val="00014EDF"/>
    <w:rsid w:val="00034F0A"/>
    <w:rsid w:val="000456D7"/>
    <w:rsid w:val="00086F4D"/>
    <w:rsid w:val="000C5C26"/>
    <w:rsid w:val="000E202D"/>
    <w:rsid w:val="0015153B"/>
    <w:rsid w:val="001622DF"/>
    <w:rsid w:val="001801E7"/>
    <w:rsid w:val="001A23CE"/>
    <w:rsid w:val="001A40A0"/>
    <w:rsid w:val="001A637A"/>
    <w:rsid w:val="001E7E5B"/>
    <w:rsid w:val="00225A56"/>
    <w:rsid w:val="00232D18"/>
    <w:rsid w:val="0024036F"/>
    <w:rsid w:val="00272FD5"/>
    <w:rsid w:val="002B32ED"/>
    <w:rsid w:val="002F3660"/>
    <w:rsid w:val="002F6CD6"/>
    <w:rsid w:val="0030317F"/>
    <w:rsid w:val="00310BA6"/>
    <w:rsid w:val="00324778"/>
    <w:rsid w:val="00325F38"/>
    <w:rsid w:val="00327D11"/>
    <w:rsid w:val="003B25B8"/>
    <w:rsid w:val="003E1A0A"/>
    <w:rsid w:val="0041560E"/>
    <w:rsid w:val="004334EF"/>
    <w:rsid w:val="00443D61"/>
    <w:rsid w:val="00451A73"/>
    <w:rsid w:val="00480867"/>
    <w:rsid w:val="004B028B"/>
    <w:rsid w:val="004F205E"/>
    <w:rsid w:val="00542F86"/>
    <w:rsid w:val="005733C7"/>
    <w:rsid w:val="005B3E93"/>
    <w:rsid w:val="005E702A"/>
    <w:rsid w:val="0062579F"/>
    <w:rsid w:val="00697AA4"/>
    <w:rsid w:val="006B30B9"/>
    <w:rsid w:val="006B3EE6"/>
    <w:rsid w:val="006C5A30"/>
    <w:rsid w:val="006D3720"/>
    <w:rsid w:val="006E3D44"/>
    <w:rsid w:val="0079399B"/>
    <w:rsid w:val="007E55DD"/>
    <w:rsid w:val="0082173B"/>
    <w:rsid w:val="00824441"/>
    <w:rsid w:val="00845F98"/>
    <w:rsid w:val="00887EFB"/>
    <w:rsid w:val="008B2FF8"/>
    <w:rsid w:val="0092055A"/>
    <w:rsid w:val="00985D91"/>
    <w:rsid w:val="00990DD5"/>
    <w:rsid w:val="009E28EA"/>
    <w:rsid w:val="009E77D8"/>
    <w:rsid w:val="009F3DE7"/>
    <w:rsid w:val="00A36D47"/>
    <w:rsid w:val="00A65B18"/>
    <w:rsid w:val="00A709BF"/>
    <w:rsid w:val="00AA78EC"/>
    <w:rsid w:val="00AE5DEF"/>
    <w:rsid w:val="00B24E43"/>
    <w:rsid w:val="00B27516"/>
    <w:rsid w:val="00B64BF9"/>
    <w:rsid w:val="00B70FD8"/>
    <w:rsid w:val="00B811CB"/>
    <w:rsid w:val="00BC2EE6"/>
    <w:rsid w:val="00BC4567"/>
    <w:rsid w:val="00C2563E"/>
    <w:rsid w:val="00C3777F"/>
    <w:rsid w:val="00C40825"/>
    <w:rsid w:val="00C5572A"/>
    <w:rsid w:val="00C825A8"/>
    <w:rsid w:val="00CF65CA"/>
    <w:rsid w:val="00D24E40"/>
    <w:rsid w:val="00D462B3"/>
    <w:rsid w:val="00D6527F"/>
    <w:rsid w:val="00D67011"/>
    <w:rsid w:val="00D80EBF"/>
    <w:rsid w:val="00D86DD8"/>
    <w:rsid w:val="00DC0D50"/>
    <w:rsid w:val="00DD1764"/>
    <w:rsid w:val="00E03B2C"/>
    <w:rsid w:val="00E21F02"/>
    <w:rsid w:val="00E46010"/>
    <w:rsid w:val="00EA3306"/>
    <w:rsid w:val="00EB2E2B"/>
    <w:rsid w:val="00EC7697"/>
    <w:rsid w:val="00ED36D1"/>
    <w:rsid w:val="00EF215F"/>
    <w:rsid w:val="00F20BF3"/>
    <w:rsid w:val="00F8470F"/>
    <w:rsid w:val="00F85584"/>
    <w:rsid w:val="00FA0D94"/>
    <w:rsid w:val="00FD13DC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725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DF"/>
  </w:style>
  <w:style w:type="paragraph" w:styleId="Heading1">
    <w:name w:val="heading 1"/>
    <w:basedOn w:val="Normal"/>
    <w:link w:val="Titre1Car"/>
    <w:uiPriority w:val="9"/>
    <w:qFormat/>
    <w:rsid w:val="0082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7F"/>
    <w:pPr>
      <w:ind w:left="720"/>
      <w:contextualSpacing/>
    </w:pPr>
  </w:style>
  <w:style w:type="table" w:styleId="TableGrid">
    <w:name w:val="Table Grid"/>
    <w:basedOn w:val="TableNormal"/>
    <w:uiPriority w:val="39"/>
    <w:rsid w:val="007E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En-tteCar"/>
    <w:uiPriority w:val="99"/>
    <w:unhideWhenUsed/>
    <w:rsid w:val="003E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3E1A0A"/>
  </w:style>
  <w:style w:type="paragraph" w:styleId="Footer">
    <w:name w:val="footer"/>
    <w:basedOn w:val="Normal"/>
    <w:link w:val="PieddepageCar"/>
    <w:uiPriority w:val="99"/>
    <w:unhideWhenUsed/>
    <w:rsid w:val="003E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3E1A0A"/>
  </w:style>
  <w:style w:type="character" w:customStyle="1" w:styleId="Titre1Car">
    <w:name w:val="Titre 1 Car"/>
    <w:basedOn w:val="DefaultParagraphFont"/>
    <w:link w:val="Heading1"/>
    <w:uiPriority w:val="9"/>
    <w:rsid w:val="00824441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DF"/>
  </w:style>
  <w:style w:type="paragraph" w:styleId="Heading1">
    <w:name w:val="heading 1"/>
    <w:basedOn w:val="Normal"/>
    <w:link w:val="Titre1Car"/>
    <w:uiPriority w:val="9"/>
    <w:qFormat/>
    <w:rsid w:val="0082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7F"/>
    <w:pPr>
      <w:ind w:left="720"/>
      <w:contextualSpacing/>
    </w:pPr>
  </w:style>
  <w:style w:type="table" w:styleId="TableGrid">
    <w:name w:val="Table Grid"/>
    <w:basedOn w:val="TableNormal"/>
    <w:uiPriority w:val="39"/>
    <w:rsid w:val="007E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En-tteCar"/>
    <w:uiPriority w:val="99"/>
    <w:unhideWhenUsed/>
    <w:rsid w:val="003E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3E1A0A"/>
  </w:style>
  <w:style w:type="paragraph" w:styleId="Footer">
    <w:name w:val="footer"/>
    <w:basedOn w:val="Normal"/>
    <w:link w:val="PieddepageCar"/>
    <w:uiPriority w:val="99"/>
    <w:unhideWhenUsed/>
    <w:rsid w:val="003E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3E1A0A"/>
  </w:style>
  <w:style w:type="character" w:customStyle="1" w:styleId="Titre1Car">
    <w:name w:val="Titre 1 Car"/>
    <w:basedOn w:val="DefaultParagraphFont"/>
    <w:link w:val="Heading1"/>
    <w:uiPriority w:val="9"/>
    <w:rsid w:val="00824441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B1DD-6272-4F63-A9B1-ECE4AFC7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Michelet</dc:creator>
  <cp:lastModifiedBy>user</cp:lastModifiedBy>
  <cp:revision>2</cp:revision>
  <cp:lastPrinted>2018-08-09T16:14:00Z</cp:lastPrinted>
  <dcterms:created xsi:type="dcterms:W3CDTF">2018-08-15T14:41:00Z</dcterms:created>
  <dcterms:modified xsi:type="dcterms:W3CDTF">2018-08-15T14:41:00Z</dcterms:modified>
</cp:coreProperties>
</file>