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31" w:rsidRDefault="0086795B" w:rsidP="00FD0831">
      <w:pPr>
        <w:pStyle w:val="Title"/>
        <w:rPr>
          <w:b/>
          <w:sz w:val="32"/>
          <w:szCs w:val="32"/>
        </w:rPr>
      </w:pPr>
      <w:r>
        <w:rPr>
          <w:b/>
          <w:sz w:val="32"/>
          <w:szCs w:val="32"/>
        </w:rPr>
        <w:t xml:space="preserve">High survival exemption for </w:t>
      </w:r>
      <w:r w:rsidR="008A10CD">
        <w:rPr>
          <w:b/>
          <w:sz w:val="32"/>
          <w:szCs w:val="32"/>
        </w:rPr>
        <w:t xml:space="preserve">plaice </w:t>
      </w:r>
      <w:r>
        <w:rPr>
          <w:b/>
          <w:sz w:val="32"/>
          <w:szCs w:val="32"/>
        </w:rPr>
        <w:t xml:space="preserve">caught by </w:t>
      </w:r>
      <w:r w:rsidR="000C010E">
        <w:rPr>
          <w:b/>
          <w:sz w:val="32"/>
          <w:szCs w:val="32"/>
        </w:rPr>
        <w:t xml:space="preserve">TR2 vessels using </w:t>
      </w:r>
      <w:r w:rsidR="001D0440">
        <w:rPr>
          <w:b/>
          <w:sz w:val="32"/>
          <w:szCs w:val="32"/>
        </w:rPr>
        <w:t>Otter Trawls</w:t>
      </w:r>
      <w:r w:rsidR="008A10CD">
        <w:rPr>
          <w:b/>
          <w:sz w:val="32"/>
          <w:szCs w:val="32"/>
        </w:rPr>
        <w:t xml:space="preserve"> </w:t>
      </w:r>
      <w:r w:rsidR="007818DB">
        <w:rPr>
          <w:b/>
          <w:sz w:val="32"/>
          <w:szCs w:val="32"/>
        </w:rPr>
        <w:t>in ICES area</w:t>
      </w:r>
      <w:r w:rsidR="001D0440">
        <w:rPr>
          <w:b/>
          <w:sz w:val="32"/>
          <w:szCs w:val="32"/>
        </w:rPr>
        <w:t>s</w:t>
      </w:r>
      <w:r w:rsidR="007818DB">
        <w:rPr>
          <w:b/>
          <w:sz w:val="32"/>
          <w:szCs w:val="32"/>
        </w:rPr>
        <w:t xml:space="preserve"> </w:t>
      </w:r>
      <w:proofErr w:type="spellStart"/>
      <w:r w:rsidR="00035654">
        <w:rPr>
          <w:b/>
          <w:sz w:val="32"/>
          <w:szCs w:val="32"/>
        </w:rPr>
        <w:t>VIId</w:t>
      </w:r>
      <w:proofErr w:type="spellEnd"/>
      <w:r w:rsidR="001D0440">
        <w:rPr>
          <w:b/>
          <w:sz w:val="32"/>
          <w:szCs w:val="32"/>
        </w:rPr>
        <w:t xml:space="preserve"> and </w:t>
      </w:r>
      <w:proofErr w:type="spellStart"/>
      <w:r w:rsidR="001D0440">
        <w:rPr>
          <w:b/>
          <w:sz w:val="32"/>
          <w:szCs w:val="32"/>
        </w:rPr>
        <w:t>VIIe</w:t>
      </w:r>
      <w:proofErr w:type="spellEnd"/>
      <w:r w:rsidR="00762167">
        <w:rPr>
          <w:b/>
          <w:sz w:val="32"/>
          <w:szCs w:val="32"/>
        </w:rPr>
        <w:br/>
      </w:r>
    </w:p>
    <w:p w:rsidR="0086795B" w:rsidRPr="00FD0831" w:rsidRDefault="0086795B" w:rsidP="00FD0831">
      <w:pPr>
        <w:pStyle w:val="Title"/>
        <w:rPr>
          <w:b/>
          <w:sz w:val="32"/>
          <w:szCs w:val="32"/>
        </w:rPr>
      </w:pPr>
      <w:r w:rsidRPr="0088024E">
        <w:rPr>
          <w:rFonts w:cs="Arial"/>
          <w:i/>
          <w:sz w:val="24"/>
          <w:szCs w:val="24"/>
        </w:rPr>
        <w:t xml:space="preserve">Request under Article 15.4(b) of </w:t>
      </w:r>
      <w:r w:rsidR="0099226D">
        <w:rPr>
          <w:rFonts w:cs="Arial"/>
          <w:i/>
          <w:sz w:val="24"/>
          <w:szCs w:val="24"/>
        </w:rPr>
        <w:t>Regulation (</w:t>
      </w:r>
      <w:r w:rsidRPr="0088024E">
        <w:rPr>
          <w:rFonts w:cs="Arial"/>
          <w:i/>
          <w:sz w:val="24"/>
          <w:szCs w:val="24"/>
        </w:rPr>
        <w:t>EU</w:t>
      </w:r>
      <w:r w:rsidR="0099226D">
        <w:rPr>
          <w:rFonts w:cs="Arial"/>
          <w:i/>
          <w:sz w:val="24"/>
          <w:szCs w:val="24"/>
        </w:rPr>
        <w:t>)</w:t>
      </w:r>
      <w:r w:rsidRPr="0088024E">
        <w:rPr>
          <w:rFonts w:cs="Arial"/>
          <w:i/>
          <w:sz w:val="24"/>
          <w:szCs w:val="24"/>
        </w:rPr>
        <w:t xml:space="preserve"> 1380/2013 to exempt from the landing obligation </w:t>
      </w:r>
      <w:r w:rsidR="008A10CD">
        <w:rPr>
          <w:rFonts w:cs="Arial"/>
          <w:i/>
          <w:sz w:val="24"/>
          <w:szCs w:val="24"/>
        </w:rPr>
        <w:t>plaice</w:t>
      </w:r>
      <w:r w:rsidRPr="0088024E">
        <w:rPr>
          <w:rFonts w:cs="Arial"/>
          <w:i/>
          <w:sz w:val="24"/>
          <w:szCs w:val="24"/>
        </w:rPr>
        <w:t xml:space="preserve"> caught </w:t>
      </w:r>
      <w:r w:rsidR="001D0440">
        <w:rPr>
          <w:rFonts w:cs="Arial"/>
          <w:i/>
          <w:sz w:val="24"/>
          <w:szCs w:val="24"/>
        </w:rPr>
        <w:t>by</w:t>
      </w:r>
      <w:r w:rsidRPr="0088024E">
        <w:rPr>
          <w:rFonts w:cs="Arial"/>
          <w:i/>
          <w:sz w:val="24"/>
          <w:szCs w:val="24"/>
        </w:rPr>
        <w:t xml:space="preserve"> </w:t>
      </w:r>
      <w:r w:rsidR="001D0440">
        <w:rPr>
          <w:rFonts w:cs="Arial"/>
          <w:i/>
          <w:sz w:val="24"/>
          <w:szCs w:val="24"/>
        </w:rPr>
        <w:t>o</w:t>
      </w:r>
      <w:r w:rsidR="001163B8" w:rsidRPr="0088024E">
        <w:rPr>
          <w:rFonts w:cs="Arial"/>
          <w:i/>
          <w:sz w:val="24"/>
          <w:szCs w:val="24"/>
        </w:rPr>
        <w:t>tter</w:t>
      </w:r>
      <w:r w:rsidR="003A1BF8">
        <w:rPr>
          <w:rFonts w:cs="Arial"/>
          <w:i/>
          <w:sz w:val="24"/>
          <w:szCs w:val="24"/>
        </w:rPr>
        <w:t xml:space="preserve"> trawl</w:t>
      </w:r>
      <w:r w:rsidR="001D0440">
        <w:rPr>
          <w:rFonts w:cs="Arial"/>
          <w:i/>
          <w:sz w:val="24"/>
          <w:szCs w:val="24"/>
        </w:rPr>
        <w:t>s</w:t>
      </w:r>
      <w:r w:rsidR="003A1BF8">
        <w:rPr>
          <w:rFonts w:cs="Arial"/>
          <w:i/>
          <w:sz w:val="24"/>
          <w:szCs w:val="24"/>
        </w:rPr>
        <w:t xml:space="preserve"> in ICES area</w:t>
      </w:r>
      <w:r w:rsidR="001D0440">
        <w:rPr>
          <w:rFonts w:cs="Arial"/>
          <w:i/>
          <w:sz w:val="24"/>
          <w:szCs w:val="24"/>
        </w:rPr>
        <w:t>s</w:t>
      </w:r>
      <w:r w:rsidR="003A1BF8">
        <w:rPr>
          <w:rFonts w:cs="Arial"/>
          <w:i/>
          <w:sz w:val="24"/>
          <w:szCs w:val="24"/>
        </w:rPr>
        <w:t xml:space="preserve"> </w:t>
      </w:r>
      <w:proofErr w:type="spellStart"/>
      <w:r w:rsidR="00035654">
        <w:rPr>
          <w:rFonts w:cs="Arial"/>
          <w:i/>
          <w:sz w:val="24"/>
          <w:szCs w:val="24"/>
        </w:rPr>
        <w:t>VIId</w:t>
      </w:r>
      <w:proofErr w:type="spellEnd"/>
      <w:r w:rsidRPr="0088024E">
        <w:rPr>
          <w:rFonts w:cs="Arial"/>
          <w:i/>
          <w:sz w:val="24"/>
          <w:szCs w:val="24"/>
        </w:rPr>
        <w:t xml:space="preserve"> </w:t>
      </w:r>
      <w:r w:rsidR="001D0440">
        <w:rPr>
          <w:rFonts w:cs="Arial"/>
          <w:i/>
          <w:sz w:val="24"/>
          <w:szCs w:val="24"/>
        </w:rPr>
        <w:t xml:space="preserve">and </w:t>
      </w:r>
      <w:proofErr w:type="spellStart"/>
      <w:r w:rsidR="001D0440">
        <w:rPr>
          <w:rFonts w:cs="Arial"/>
          <w:i/>
          <w:sz w:val="24"/>
          <w:szCs w:val="24"/>
        </w:rPr>
        <w:t>VIIe</w:t>
      </w:r>
      <w:proofErr w:type="spellEnd"/>
      <w:r w:rsidRPr="0088024E">
        <w:rPr>
          <w:rFonts w:cs="Arial"/>
          <w:i/>
          <w:sz w:val="24"/>
          <w:szCs w:val="24"/>
        </w:rPr>
        <w:t>.</w:t>
      </w:r>
    </w:p>
    <w:p w:rsidR="001D0440" w:rsidRPr="0088024E" w:rsidRDefault="001D0440" w:rsidP="001D0440">
      <w:pPr>
        <w:pStyle w:val="Heading1"/>
      </w:pPr>
      <w:r w:rsidRPr="0088024E">
        <w:t>Summary</w:t>
      </w:r>
    </w:p>
    <w:p w:rsidR="001D0440" w:rsidRPr="0088024E" w:rsidRDefault="001D0440" w:rsidP="001D0440">
      <w:pPr>
        <w:rPr>
          <w:rFonts w:cs="Arial"/>
        </w:rPr>
      </w:pPr>
      <w:r w:rsidRPr="0088024E">
        <w:rPr>
          <w:rFonts w:cs="Arial"/>
        </w:rPr>
        <w:t xml:space="preserve">Article 15.4(b) of </w:t>
      </w:r>
      <w:r>
        <w:rPr>
          <w:rFonts w:cs="Arial"/>
        </w:rPr>
        <w:t>Regulation</w:t>
      </w:r>
      <w:r w:rsidRPr="0088024E">
        <w:rPr>
          <w:rFonts w:cs="Arial"/>
        </w:rPr>
        <w:t xml:space="preserve"> </w:t>
      </w:r>
      <w:r>
        <w:rPr>
          <w:rFonts w:cs="Arial"/>
        </w:rPr>
        <w:t>(</w:t>
      </w:r>
      <w:r w:rsidRPr="0088024E">
        <w:rPr>
          <w:rFonts w:cs="Arial"/>
        </w:rPr>
        <w:t>EU</w:t>
      </w:r>
      <w:r>
        <w:rPr>
          <w:rFonts w:cs="Arial"/>
        </w:rPr>
        <w:t>)</w:t>
      </w:r>
      <w:r w:rsidRPr="0088024E">
        <w:rPr>
          <w:rFonts w:cs="Arial"/>
        </w:rPr>
        <w:t xml:space="preserve"> 1380/2013 </w:t>
      </w:r>
      <w:r>
        <w:rPr>
          <w:rFonts w:cs="Arial"/>
        </w:rPr>
        <w:t xml:space="preserve">on the Common Fisheries Policy </w:t>
      </w:r>
      <w:r w:rsidRPr="0088024E">
        <w:rPr>
          <w:rFonts w:cs="Arial"/>
        </w:rPr>
        <w:t>states that the landing obligation shall not apply to:</w:t>
      </w:r>
    </w:p>
    <w:p w:rsidR="001D0440" w:rsidRPr="0088024E" w:rsidRDefault="001D0440" w:rsidP="001D0440">
      <w:pPr>
        <w:ind w:left="720"/>
        <w:rPr>
          <w:rFonts w:cs="Arial"/>
        </w:rPr>
      </w:pPr>
      <w:r w:rsidRPr="0088024E">
        <w:rPr>
          <w:rFonts w:cs="Arial"/>
        </w:rPr>
        <w:t>“</w:t>
      </w:r>
      <w:proofErr w:type="gramStart"/>
      <w:r>
        <w:rPr>
          <w:rFonts w:cs="Arial"/>
        </w:rPr>
        <w:t>s</w:t>
      </w:r>
      <w:r w:rsidRPr="0088024E">
        <w:rPr>
          <w:rFonts w:cs="Arial"/>
        </w:rPr>
        <w:t>pecies</w:t>
      </w:r>
      <w:proofErr w:type="gramEnd"/>
      <w:r w:rsidRPr="0088024E">
        <w:rPr>
          <w:rFonts w:cs="Arial"/>
        </w:rPr>
        <w:t xml:space="preserve"> for which scientific evidence demonstrates high survival rates, taking into account the characteristics of the gear, of the fishing practises and of the ecosystem;”</w:t>
      </w:r>
    </w:p>
    <w:p w:rsidR="001D0440" w:rsidRDefault="001D0440" w:rsidP="001D0440">
      <w:pPr>
        <w:rPr>
          <w:rFonts w:cs="Arial"/>
        </w:rPr>
      </w:pPr>
      <w:r>
        <w:rPr>
          <w:rFonts w:cs="Arial"/>
        </w:rPr>
        <w:t xml:space="preserve">In response to industry’s view that Plaice has a high rate of survival, the Centre for Environment, Fisheries and Aquaculture Science (Cefas) was commissioned to carry out a number studies on high survivability of Plaice. This study undertaken by Cefas.  </w:t>
      </w:r>
    </w:p>
    <w:p w:rsidR="008472D3" w:rsidRDefault="001D0440" w:rsidP="008472D3">
      <w:pPr>
        <w:rPr>
          <w:rFonts w:cs="Arial"/>
        </w:rPr>
      </w:pPr>
      <w:r>
        <w:rPr>
          <w:rFonts w:cs="Arial"/>
        </w:rPr>
        <w:t>The North Western Waters regional group</w:t>
      </w:r>
      <w:r w:rsidRPr="0088024E">
        <w:rPr>
          <w:rFonts w:cs="Arial"/>
        </w:rPr>
        <w:t xml:space="preserve"> </w:t>
      </w:r>
      <w:r>
        <w:rPr>
          <w:rFonts w:cs="Arial"/>
        </w:rPr>
        <w:t>notes that scientific evidence demonst</w:t>
      </w:r>
      <w:r w:rsidR="00CF6985">
        <w:rPr>
          <w:rFonts w:cs="Arial"/>
        </w:rPr>
        <w:t>rates a survivability rate of 64</w:t>
      </w:r>
      <w:r>
        <w:rPr>
          <w:rFonts w:cs="Arial"/>
        </w:rPr>
        <w:t>% for plaice (</w:t>
      </w:r>
      <w:proofErr w:type="spellStart"/>
      <w:r w:rsidRPr="001B6026">
        <w:rPr>
          <w:rFonts w:cs="Arial"/>
          <w:szCs w:val="16"/>
          <w:lang w:eastAsia="en-GB"/>
        </w:rPr>
        <w:t>Pleuronectes</w:t>
      </w:r>
      <w:proofErr w:type="spellEnd"/>
      <w:r w:rsidRPr="001B6026">
        <w:rPr>
          <w:rFonts w:cs="Arial"/>
          <w:szCs w:val="16"/>
          <w:lang w:eastAsia="en-GB"/>
        </w:rPr>
        <w:t xml:space="preserve"> </w:t>
      </w:r>
      <w:proofErr w:type="spellStart"/>
      <w:r w:rsidRPr="001B6026">
        <w:rPr>
          <w:rFonts w:cs="Arial"/>
          <w:szCs w:val="16"/>
          <w:lang w:eastAsia="en-GB"/>
        </w:rPr>
        <w:t>platessa</w:t>
      </w:r>
      <w:proofErr w:type="spellEnd"/>
      <w:r w:rsidR="000C010E">
        <w:rPr>
          <w:rFonts w:cs="Arial"/>
        </w:rPr>
        <w:t>) caught by TR2 vessels using otter trawls</w:t>
      </w:r>
      <w:r w:rsidR="00CF6985">
        <w:rPr>
          <w:rFonts w:cs="Arial"/>
        </w:rPr>
        <w:t xml:space="preserve"> in area </w:t>
      </w:r>
      <w:proofErr w:type="spellStart"/>
      <w:r w:rsidR="00CF6985">
        <w:rPr>
          <w:rFonts w:cs="Arial"/>
        </w:rPr>
        <w:t>VIId</w:t>
      </w:r>
      <w:proofErr w:type="spellEnd"/>
      <w:r>
        <w:rPr>
          <w:rFonts w:cs="Arial"/>
        </w:rPr>
        <w:t xml:space="preserve"> and recommends that catche</w:t>
      </w:r>
      <w:r w:rsidR="00CF6985">
        <w:rPr>
          <w:rFonts w:cs="Arial"/>
        </w:rPr>
        <w:t xml:space="preserve">s of Plaice caught in areas </w:t>
      </w:r>
      <w:proofErr w:type="spellStart"/>
      <w:r w:rsidR="00CF6985">
        <w:rPr>
          <w:rFonts w:cs="Arial"/>
        </w:rPr>
        <w:t>VIId</w:t>
      </w:r>
      <w:proofErr w:type="spellEnd"/>
      <w:r>
        <w:rPr>
          <w:rFonts w:cs="Arial"/>
        </w:rPr>
        <w:t xml:space="preserve"> and </w:t>
      </w:r>
      <w:proofErr w:type="spellStart"/>
      <w:r w:rsidR="000C010E">
        <w:rPr>
          <w:rFonts w:cs="Arial"/>
        </w:rPr>
        <w:t>VII</w:t>
      </w:r>
      <w:r w:rsidR="00CF6985">
        <w:rPr>
          <w:rFonts w:cs="Arial"/>
        </w:rPr>
        <w:t>e</w:t>
      </w:r>
      <w:proofErr w:type="spellEnd"/>
      <w:r>
        <w:rPr>
          <w:rFonts w:cs="Arial"/>
        </w:rPr>
        <w:t xml:space="preserve"> should be exempt from the landing obligation on grounds of high survival rates, as provided for by Article 15.4(b) Regulation (EU) 1380/2013.</w:t>
      </w:r>
      <w:r w:rsidRPr="009537FB">
        <w:rPr>
          <w:rFonts w:cs="Arial"/>
        </w:rPr>
        <w:t xml:space="preserve"> </w:t>
      </w:r>
      <w:r>
        <w:rPr>
          <w:rFonts w:cs="Arial"/>
        </w:rPr>
        <w:t xml:space="preserve">This will reduce the risk of vessels being prevented from continuing to fish at sea due to their low Plaice quota.  </w:t>
      </w:r>
    </w:p>
    <w:p w:rsidR="001D0440" w:rsidRPr="0088024E" w:rsidRDefault="001D0440" w:rsidP="001D0440">
      <w:pPr>
        <w:pStyle w:val="Heading1"/>
      </w:pPr>
      <w:r w:rsidRPr="0088024E">
        <w:t xml:space="preserve">Key </w:t>
      </w:r>
      <w:r w:rsidRPr="00CC2E9E">
        <w:t>Information</w:t>
      </w:r>
    </w:p>
    <w:p w:rsidR="00CF6985" w:rsidRDefault="00CF6985" w:rsidP="004D6717">
      <w:pPr>
        <w:rPr>
          <w:rFonts w:cs="Arial"/>
        </w:rPr>
      </w:pPr>
      <w:r>
        <w:rPr>
          <w:rFonts w:cs="Arial"/>
        </w:rPr>
        <w:t>Exemption target:</w:t>
      </w:r>
      <w:r>
        <w:rPr>
          <w:rFonts w:cs="Arial"/>
        </w:rPr>
        <w:tab/>
        <w:t>Plaice (</w:t>
      </w:r>
      <w:proofErr w:type="spellStart"/>
      <w:r>
        <w:rPr>
          <w:rFonts w:cs="Arial"/>
        </w:rPr>
        <w:t>Pleuronectes</w:t>
      </w:r>
      <w:proofErr w:type="spellEnd"/>
      <w:r>
        <w:rPr>
          <w:rFonts w:cs="Arial"/>
        </w:rPr>
        <w:t xml:space="preserve"> </w:t>
      </w:r>
      <w:proofErr w:type="spellStart"/>
      <w:r>
        <w:rPr>
          <w:rFonts w:cs="Arial"/>
        </w:rPr>
        <w:t>platessa</w:t>
      </w:r>
      <w:proofErr w:type="spellEnd"/>
      <w:r>
        <w:rPr>
          <w:rFonts w:cs="Arial"/>
        </w:rPr>
        <w:t>)</w:t>
      </w:r>
    </w:p>
    <w:p w:rsidR="00CF6985" w:rsidRDefault="00CF6985" w:rsidP="00CF6985">
      <w:pPr>
        <w:ind w:left="2977" w:hanging="2977"/>
        <w:rPr>
          <w:rFonts w:cs="Arial"/>
        </w:rPr>
      </w:pPr>
      <w:r>
        <w:rPr>
          <w:rFonts w:cs="Arial"/>
        </w:rPr>
        <w:t>Exemption grounds:</w:t>
      </w:r>
      <w:r>
        <w:rPr>
          <w:rFonts w:cs="Arial"/>
        </w:rPr>
        <w:tab/>
        <w:t>High survivability.</w:t>
      </w:r>
    </w:p>
    <w:p w:rsidR="00CF6985" w:rsidRDefault="00CF6985" w:rsidP="00CF6985">
      <w:pPr>
        <w:ind w:left="2977" w:hanging="2977"/>
        <w:rPr>
          <w:rFonts w:cs="Arial"/>
        </w:rPr>
      </w:pPr>
      <w:r w:rsidRPr="0088024E">
        <w:rPr>
          <w:rFonts w:cs="Arial"/>
        </w:rPr>
        <w:t>Survivability</w:t>
      </w:r>
      <w:r>
        <w:rPr>
          <w:rFonts w:cs="Arial"/>
        </w:rPr>
        <w:t xml:space="preserve"> rates</w:t>
      </w:r>
      <w:r w:rsidRPr="0088024E">
        <w:rPr>
          <w:rFonts w:cs="Arial"/>
        </w:rPr>
        <w:t>:</w:t>
      </w:r>
      <w:r w:rsidRPr="0088024E">
        <w:rPr>
          <w:rFonts w:cs="Arial"/>
        </w:rPr>
        <w:tab/>
      </w:r>
      <w:r>
        <w:rPr>
          <w:rFonts w:cs="Arial"/>
        </w:rPr>
        <w:t xml:space="preserve">64% </w:t>
      </w:r>
    </w:p>
    <w:p w:rsidR="00CF6985" w:rsidRDefault="00CF6985" w:rsidP="00CF6985">
      <w:pPr>
        <w:ind w:left="2977" w:hanging="2977"/>
        <w:rPr>
          <w:rFonts w:cs="Arial"/>
        </w:rPr>
      </w:pPr>
      <w:r w:rsidRPr="0088024E">
        <w:rPr>
          <w:rFonts w:cs="Arial"/>
        </w:rPr>
        <w:t>Vessels affected:</w:t>
      </w:r>
      <w:r w:rsidRPr="0088024E">
        <w:rPr>
          <w:rFonts w:cs="Arial"/>
        </w:rPr>
        <w:tab/>
      </w:r>
      <w:r w:rsidR="003C3C8A">
        <w:rPr>
          <w:rFonts w:cs="Arial"/>
        </w:rPr>
        <w:t>205 (UK vessels)</w:t>
      </w:r>
    </w:p>
    <w:p w:rsidR="00CF6985" w:rsidRDefault="00CF6985" w:rsidP="00CF6985">
      <w:pPr>
        <w:ind w:left="2977" w:hanging="2977"/>
        <w:rPr>
          <w:rFonts w:cs="Arial"/>
        </w:rPr>
      </w:pPr>
      <w:r w:rsidRPr="0088024E">
        <w:rPr>
          <w:rFonts w:cs="Arial"/>
        </w:rPr>
        <w:t xml:space="preserve">Discard </w:t>
      </w:r>
      <w:r>
        <w:rPr>
          <w:rFonts w:cs="Arial"/>
        </w:rPr>
        <w:t>rate</w:t>
      </w:r>
      <w:r w:rsidRPr="0088024E">
        <w:rPr>
          <w:rFonts w:cs="Arial"/>
        </w:rPr>
        <w:t>:</w:t>
      </w:r>
      <w:r w:rsidRPr="0088024E">
        <w:rPr>
          <w:rFonts w:cs="Arial"/>
        </w:rPr>
        <w:tab/>
      </w:r>
      <w:r>
        <w:rPr>
          <w:rFonts w:cs="Arial"/>
        </w:rPr>
        <w:t>32%</w:t>
      </w:r>
    </w:p>
    <w:p w:rsidR="00CF6985" w:rsidRDefault="00C57EA9" w:rsidP="00CF6985">
      <w:pPr>
        <w:ind w:left="2977" w:hanging="2977"/>
        <w:rPr>
          <w:rFonts w:cs="Arial"/>
        </w:rPr>
      </w:pPr>
      <w:r>
        <w:rPr>
          <w:rFonts w:cs="Arial"/>
        </w:rPr>
        <w:t>2018 UK</w:t>
      </w:r>
      <w:r w:rsidR="00CF6985">
        <w:rPr>
          <w:rFonts w:cs="Arial"/>
        </w:rPr>
        <w:t xml:space="preserve"> TAC:</w:t>
      </w:r>
      <w:r w:rsidR="00AB4FD4">
        <w:rPr>
          <w:rFonts w:cs="Arial"/>
        </w:rPr>
        <w:tab/>
      </w:r>
      <w:r>
        <w:rPr>
          <w:rFonts w:cs="Arial"/>
        </w:rPr>
        <w:t>3,014</w:t>
      </w:r>
    </w:p>
    <w:p w:rsidR="001D0440" w:rsidRDefault="001D0440" w:rsidP="001D0440">
      <w:pPr>
        <w:ind w:left="2977" w:hanging="2977"/>
        <w:rPr>
          <w:rFonts w:cs="Arial"/>
        </w:rPr>
      </w:pPr>
    </w:p>
    <w:p w:rsidR="00AB4FD4" w:rsidRDefault="00AB4FD4" w:rsidP="001D0440">
      <w:pPr>
        <w:ind w:left="2977" w:hanging="2977"/>
        <w:rPr>
          <w:rFonts w:cs="Arial"/>
          <w:b/>
        </w:rPr>
      </w:pPr>
      <w:r>
        <w:rPr>
          <w:rFonts w:cs="Arial"/>
          <w:b/>
        </w:rPr>
        <w:t>Fishery</w:t>
      </w:r>
    </w:p>
    <w:p w:rsidR="00AB4FD4" w:rsidRPr="00AB4FD4" w:rsidRDefault="003C3C8A" w:rsidP="003C3C8A">
      <w:pPr>
        <w:spacing w:after="0"/>
        <w:rPr>
          <w:rFonts w:cs="Arial"/>
        </w:rPr>
      </w:pPr>
      <w:r>
        <w:rPr>
          <w:rFonts w:cs="Arial"/>
        </w:rPr>
        <w:t xml:space="preserve">In 2017, 205 vessels registered in the UK caught plaice with Otter Trawls in area </w:t>
      </w:r>
      <w:proofErr w:type="spellStart"/>
      <w:r>
        <w:rPr>
          <w:rFonts w:cs="Arial"/>
        </w:rPr>
        <w:t>VIId</w:t>
      </w:r>
      <w:proofErr w:type="spellEnd"/>
      <w:r>
        <w:rPr>
          <w:rFonts w:cs="Arial"/>
        </w:rPr>
        <w:t xml:space="preserve"> and </w:t>
      </w:r>
      <w:proofErr w:type="spellStart"/>
      <w:r>
        <w:rPr>
          <w:rFonts w:cs="Arial"/>
        </w:rPr>
        <w:t>VIIe</w:t>
      </w:r>
      <w:proofErr w:type="spellEnd"/>
      <w:r>
        <w:rPr>
          <w:rFonts w:cs="Arial"/>
        </w:rPr>
        <w:t xml:space="preserve">, with a total catch of 741 tonnes. The discard rate for the stock in area </w:t>
      </w:r>
      <w:proofErr w:type="spellStart"/>
      <w:r>
        <w:rPr>
          <w:rFonts w:cs="Arial"/>
        </w:rPr>
        <w:t>VIId</w:t>
      </w:r>
      <w:proofErr w:type="spellEnd"/>
      <w:r>
        <w:rPr>
          <w:rFonts w:cs="Arial"/>
        </w:rPr>
        <w:t xml:space="preserve"> and </w:t>
      </w:r>
      <w:proofErr w:type="spellStart"/>
      <w:r>
        <w:rPr>
          <w:rFonts w:cs="Arial"/>
        </w:rPr>
        <w:t>VIIe</w:t>
      </w:r>
      <w:proofErr w:type="spellEnd"/>
      <w:r>
        <w:rPr>
          <w:rFonts w:cs="Arial"/>
        </w:rPr>
        <w:t xml:space="preserve"> is </w:t>
      </w:r>
      <w:r>
        <w:rPr>
          <w:rFonts w:cs="Arial"/>
        </w:rPr>
        <w:lastRenderedPageBreak/>
        <w:t>currently at 32%. A</w:t>
      </w:r>
      <w:r w:rsidR="00A51FDB">
        <w:rPr>
          <w:rFonts w:cs="Arial"/>
        </w:rPr>
        <w:t xml:space="preserve">n estimated </w:t>
      </w:r>
      <w:r>
        <w:rPr>
          <w:rFonts w:cs="Arial"/>
        </w:rPr>
        <w:t>237 tonnes w</w:t>
      </w:r>
      <w:r w:rsidR="00A51FDB">
        <w:rPr>
          <w:rFonts w:cs="Arial"/>
        </w:rPr>
        <w:t>ill be</w:t>
      </w:r>
      <w:r>
        <w:rPr>
          <w:rFonts w:cs="Arial"/>
        </w:rPr>
        <w:t xml:space="preserve"> discarded in 201</w:t>
      </w:r>
      <w:r w:rsidR="00393354">
        <w:rPr>
          <w:rFonts w:cs="Arial"/>
        </w:rPr>
        <w:t>9</w:t>
      </w:r>
      <w:r>
        <w:rPr>
          <w:rFonts w:cs="Arial"/>
        </w:rPr>
        <w:t>. The survival rate in the study is 64%, which would indicate that around 151 tonnes of the discarded Plaice w</w:t>
      </w:r>
      <w:r w:rsidR="00A51FDB">
        <w:rPr>
          <w:rFonts w:cs="Arial"/>
        </w:rPr>
        <w:t>ill</w:t>
      </w:r>
      <w:r>
        <w:rPr>
          <w:rFonts w:cs="Arial"/>
        </w:rPr>
        <w:t xml:space="preserve"> survive. </w:t>
      </w:r>
    </w:p>
    <w:p w:rsidR="004D6717" w:rsidRDefault="004D6717" w:rsidP="001D0440">
      <w:pPr>
        <w:pStyle w:val="Heading1"/>
        <w:rPr>
          <w:color w:val="auto"/>
        </w:rPr>
      </w:pPr>
      <w:r>
        <w:rPr>
          <w:color w:val="auto"/>
        </w:rPr>
        <w:t>Study</w:t>
      </w:r>
    </w:p>
    <w:p w:rsidR="004D6717" w:rsidRDefault="004D6717" w:rsidP="004D6717">
      <w:r>
        <w:t xml:space="preserve">The vessel selected for this study was a twin-rig </w:t>
      </w:r>
      <w:r w:rsidR="0074425F">
        <w:t xml:space="preserve">otter </w:t>
      </w:r>
      <w:r>
        <w:t xml:space="preserve">trawler that traditionally works from </w:t>
      </w:r>
      <w:proofErr w:type="spellStart"/>
      <w:r>
        <w:t>Brixham</w:t>
      </w:r>
      <w:proofErr w:type="spellEnd"/>
      <w:r>
        <w:t xml:space="preserve">, England to exploit the Lyne Bay lemon sole and squid fishery. The vessel measures 14.98m in length overall and is able to undertake 4-5 day trips. </w:t>
      </w:r>
      <w:proofErr w:type="spellStart"/>
      <w:r>
        <w:t>Brixham</w:t>
      </w:r>
      <w:proofErr w:type="spellEnd"/>
      <w:r>
        <w:t xml:space="preserve"> </w:t>
      </w:r>
      <w:r w:rsidR="000C010E">
        <w:t xml:space="preserve">(See Figure 1) </w:t>
      </w:r>
      <w:r>
        <w:t>is one of the principal fishing ports in England and is the base for the largest beam trawl fleet in the UK and a flee</w:t>
      </w:r>
      <w:r w:rsidR="000C010E">
        <w:t>t of up to 20 inshore trawlers which are able to land their catches at all states of the tide.</w:t>
      </w:r>
    </w:p>
    <w:p w:rsidR="000C010E" w:rsidRDefault="000C010E" w:rsidP="004D6717">
      <w:r w:rsidRPr="000C010E">
        <w:rPr>
          <w:noProof/>
          <w:lang w:val="en-IE" w:eastAsia="en-IE"/>
        </w:rPr>
        <w:drawing>
          <wp:inline distT="0" distB="0" distL="0" distR="0">
            <wp:extent cx="4867275" cy="576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5762625"/>
                    </a:xfrm>
                    <a:prstGeom prst="rect">
                      <a:avLst/>
                    </a:prstGeom>
                    <a:noFill/>
                    <a:ln>
                      <a:noFill/>
                    </a:ln>
                  </pic:spPr>
                </pic:pic>
              </a:graphicData>
            </a:graphic>
          </wp:inline>
        </w:drawing>
      </w:r>
    </w:p>
    <w:p w:rsidR="00606B88" w:rsidRPr="00606B88" w:rsidRDefault="00606B88" w:rsidP="004D6717">
      <w:pPr>
        <w:rPr>
          <w:sz w:val="20"/>
        </w:rPr>
      </w:pPr>
      <w:r w:rsidRPr="00606B88">
        <w:rPr>
          <w:b/>
          <w:sz w:val="20"/>
        </w:rPr>
        <w:t>Figure 1. The locations of the hauls observed in this study (Case 4) on plaice high survival in otter trawls</w:t>
      </w:r>
      <w:r>
        <w:rPr>
          <w:b/>
          <w:sz w:val="20"/>
        </w:rPr>
        <w:t xml:space="preserve">. </w:t>
      </w:r>
    </w:p>
    <w:p w:rsidR="00902FB0" w:rsidRDefault="0074425F" w:rsidP="004D6717">
      <w:r>
        <w:lastRenderedPageBreak/>
        <w:t>The demersal fishery is mixed but the main targets are non-quota species, such as lemon sole, squid and cuttlefish. The twin-rig otter trawl had a footrope length of 22m, and cod ends were 90mm mesh made of a 4mm diameter single braid twine. Water depths were generally shallow but 275m of trawl wire and 110m of bridles were deployed to achieve effective herding of lemon sole to the trawl mouth. As a result hauling usually took about 20 minutes.</w:t>
      </w:r>
      <w:bookmarkStart w:id="0" w:name="_GoBack"/>
    </w:p>
    <w:p w:rsidR="0074425F" w:rsidRDefault="0074425F" w:rsidP="004D6717">
      <w:r>
        <w:t xml:space="preserve"> </w:t>
      </w:r>
      <w:r w:rsidR="00902FB0" w:rsidRPr="00902FB0">
        <w:rPr>
          <w:rFonts w:cs="Arial"/>
          <w:b/>
          <w:noProof/>
          <w:lang w:val="en-IE" w:eastAsia="en-IE"/>
        </w:rPr>
        <w:drawing>
          <wp:inline distT="0" distB="0" distL="0" distR="0" wp14:anchorId="0772A880" wp14:editId="54B6F2F7">
            <wp:extent cx="6120130" cy="395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51605"/>
                    </a:xfrm>
                    <a:prstGeom prst="rect">
                      <a:avLst/>
                    </a:prstGeom>
                    <a:noFill/>
                    <a:ln>
                      <a:noFill/>
                    </a:ln>
                  </pic:spPr>
                </pic:pic>
              </a:graphicData>
            </a:graphic>
          </wp:inline>
        </w:drawing>
      </w:r>
    </w:p>
    <w:bookmarkEnd w:id="0"/>
    <w:p w:rsidR="00902FB0" w:rsidRPr="008B3718" w:rsidRDefault="00902FB0" w:rsidP="00902FB0">
      <w:pPr>
        <w:rPr>
          <w:b/>
          <w:sz w:val="22"/>
        </w:rPr>
      </w:pPr>
      <w:r>
        <w:rPr>
          <w:b/>
          <w:sz w:val="22"/>
        </w:rPr>
        <w:t>Figure 2</w:t>
      </w:r>
      <w:r w:rsidRPr="008B3718">
        <w:rPr>
          <w:b/>
          <w:sz w:val="22"/>
        </w:rPr>
        <w:t xml:space="preserve">. Length frequencies of plaice in </w:t>
      </w:r>
      <w:r w:rsidR="00355928">
        <w:rPr>
          <w:b/>
          <w:sz w:val="22"/>
        </w:rPr>
        <w:t xml:space="preserve">otter trawl </w:t>
      </w:r>
      <w:r w:rsidRPr="008B3718">
        <w:rPr>
          <w:b/>
          <w:sz w:val="22"/>
        </w:rPr>
        <w:t>catches and held for observation</w:t>
      </w:r>
    </w:p>
    <w:p w:rsidR="00902FB0" w:rsidRPr="004D6717" w:rsidRDefault="00902FB0" w:rsidP="004D6717"/>
    <w:p w:rsidR="004D6717" w:rsidRPr="004D6717" w:rsidRDefault="004D6717" w:rsidP="004D6717">
      <w:pPr>
        <w:rPr>
          <w:u w:val="single"/>
        </w:rPr>
      </w:pPr>
      <w:r>
        <w:rPr>
          <w:u w:val="single"/>
        </w:rPr>
        <w:t>Data collection</w:t>
      </w:r>
    </w:p>
    <w:p w:rsidR="004D6717" w:rsidRDefault="004D6717" w:rsidP="004D6717">
      <w:r>
        <w:t>All plaice caught were recorded by length. Each individual fish was measured and scored using a predefined assessment protocol developed methods described in the ICES WKMEDS 2014 report and refined in the Cefas laboratory using aquarium kept plaice. Vitality was assess using a semi-quantitative assessment of activity and a quantitative reflex and injury scoring method.</w:t>
      </w:r>
    </w:p>
    <w:p w:rsidR="00822F9A" w:rsidRPr="00822F9A" w:rsidRDefault="00822F9A" w:rsidP="00822F9A">
      <w:pPr>
        <w:rPr>
          <w:u w:val="single"/>
        </w:rPr>
      </w:pPr>
      <w:r>
        <w:rPr>
          <w:u w:val="single"/>
        </w:rPr>
        <w:t>Vitality assessment</w:t>
      </w:r>
    </w:p>
    <w:p w:rsidR="00822F9A" w:rsidRDefault="00822F9A" w:rsidP="00822F9A">
      <w:r>
        <w:t>A total of 5379 plaice were caught. Table 1 sets out the vitality assessment and survival probability of the caught plaice. Fish were held in captivity for 66-133 hours</w:t>
      </w:r>
    </w:p>
    <w:p w:rsidR="00822F9A" w:rsidRPr="00822F9A" w:rsidRDefault="00822F9A" w:rsidP="00822F9A">
      <w:pPr>
        <w:rPr>
          <w:b/>
        </w:rPr>
      </w:pPr>
      <w:r>
        <w:rPr>
          <w:b/>
        </w:rPr>
        <w:t xml:space="preserve">Table1. </w:t>
      </w:r>
      <w:r w:rsidRPr="00822F9A">
        <w:rPr>
          <w:b/>
        </w:rPr>
        <w:t>Survivability and catch profile of study by vitality assessment for plaice</w:t>
      </w:r>
      <w:r>
        <w:t>.</w:t>
      </w:r>
    </w:p>
    <w:tbl>
      <w:tblPr>
        <w:tblStyle w:val="TableGrid"/>
        <w:tblW w:w="4531" w:type="pct"/>
        <w:jc w:val="center"/>
        <w:tblLook w:val="04A0" w:firstRow="1" w:lastRow="0" w:firstColumn="1" w:lastColumn="0" w:noHBand="0" w:noVBand="1"/>
      </w:tblPr>
      <w:tblGrid>
        <w:gridCol w:w="2720"/>
        <w:gridCol w:w="3255"/>
        <w:gridCol w:w="2955"/>
      </w:tblGrid>
      <w:tr w:rsidR="00822F9A" w:rsidRPr="0088024E" w:rsidTr="00E33F2F">
        <w:trPr>
          <w:trHeight w:val="2138"/>
          <w:jc w:val="center"/>
        </w:trPr>
        <w:tc>
          <w:tcPr>
            <w:tcW w:w="2654" w:type="dxa"/>
            <w:vAlign w:val="center"/>
          </w:tcPr>
          <w:p w:rsidR="00822F9A" w:rsidRPr="00B74050" w:rsidRDefault="00822F9A" w:rsidP="00E33F2F">
            <w:pPr>
              <w:jc w:val="center"/>
              <w:rPr>
                <w:rFonts w:cs="Arial"/>
                <w:b/>
              </w:rPr>
            </w:pPr>
            <w:r w:rsidRPr="00B74050">
              <w:rPr>
                <w:rFonts w:cs="Arial"/>
                <w:b/>
              </w:rPr>
              <w:lastRenderedPageBreak/>
              <w:t>Vitality assessment</w:t>
            </w:r>
          </w:p>
        </w:tc>
        <w:tc>
          <w:tcPr>
            <w:tcW w:w="3177" w:type="dxa"/>
            <w:vAlign w:val="center"/>
          </w:tcPr>
          <w:p w:rsidR="00822F9A" w:rsidRPr="00B74050" w:rsidRDefault="00822F9A" w:rsidP="00E33F2F">
            <w:pPr>
              <w:jc w:val="center"/>
              <w:rPr>
                <w:rFonts w:cs="Arial"/>
                <w:b/>
              </w:rPr>
            </w:pPr>
            <w:r w:rsidRPr="00B74050">
              <w:rPr>
                <w:rFonts w:cs="Arial"/>
                <w:b/>
              </w:rPr>
              <w:t xml:space="preserve">Proportion of </w:t>
            </w:r>
            <w:r>
              <w:rPr>
                <w:rFonts w:cs="Arial"/>
                <w:b/>
              </w:rPr>
              <w:t xml:space="preserve">fish </w:t>
            </w:r>
            <w:r w:rsidRPr="00B74050">
              <w:rPr>
                <w:rFonts w:cs="Arial"/>
                <w:b/>
              </w:rPr>
              <w:t xml:space="preserve">at each vitality </w:t>
            </w:r>
          </w:p>
        </w:tc>
        <w:tc>
          <w:tcPr>
            <w:tcW w:w="2884" w:type="dxa"/>
            <w:vAlign w:val="center"/>
          </w:tcPr>
          <w:p w:rsidR="00822F9A" w:rsidRPr="00B74050" w:rsidRDefault="00822F9A" w:rsidP="00E33F2F">
            <w:pPr>
              <w:jc w:val="center"/>
              <w:rPr>
                <w:rFonts w:cs="Arial"/>
                <w:b/>
              </w:rPr>
            </w:pPr>
            <w:r w:rsidRPr="00B74050">
              <w:rPr>
                <w:rFonts w:cs="Arial"/>
                <w:b/>
              </w:rPr>
              <w:t>Survivability probability (%)</w:t>
            </w:r>
          </w:p>
        </w:tc>
      </w:tr>
      <w:tr w:rsidR="00822F9A" w:rsidRPr="0088024E" w:rsidTr="00E33F2F">
        <w:trPr>
          <w:trHeight w:val="755"/>
          <w:jc w:val="center"/>
        </w:trPr>
        <w:tc>
          <w:tcPr>
            <w:tcW w:w="2654" w:type="dxa"/>
            <w:vAlign w:val="center"/>
          </w:tcPr>
          <w:p w:rsidR="00822F9A" w:rsidRPr="0088024E" w:rsidRDefault="00822F9A" w:rsidP="00E33F2F">
            <w:pPr>
              <w:jc w:val="center"/>
              <w:rPr>
                <w:rFonts w:cs="Arial"/>
              </w:rPr>
            </w:pPr>
            <w:r w:rsidRPr="0088024E">
              <w:rPr>
                <w:rFonts w:cs="Arial"/>
              </w:rPr>
              <w:t>Excellent</w:t>
            </w:r>
          </w:p>
        </w:tc>
        <w:tc>
          <w:tcPr>
            <w:tcW w:w="3177" w:type="dxa"/>
            <w:vAlign w:val="center"/>
          </w:tcPr>
          <w:p w:rsidR="00822F9A" w:rsidRPr="0088024E" w:rsidRDefault="00822F9A" w:rsidP="00E33F2F">
            <w:pPr>
              <w:jc w:val="center"/>
              <w:rPr>
                <w:rFonts w:cs="Arial"/>
              </w:rPr>
            </w:pPr>
            <w:r>
              <w:rPr>
                <w:rFonts w:cs="Arial"/>
              </w:rPr>
              <w:t>0.38</w:t>
            </w:r>
          </w:p>
        </w:tc>
        <w:tc>
          <w:tcPr>
            <w:tcW w:w="2884" w:type="dxa"/>
            <w:vAlign w:val="center"/>
          </w:tcPr>
          <w:p w:rsidR="00822F9A" w:rsidRPr="0088024E" w:rsidRDefault="00822F9A" w:rsidP="00E33F2F">
            <w:pPr>
              <w:jc w:val="center"/>
              <w:rPr>
                <w:rFonts w:cs="Arial"/>
              </w:rPr>
            </w:pPr>
            <w:r>
              <w:rPr>
                <w:rFonts w:cs="Arial"/>
              </w:rPr>
              <w:t>90.2</w:t>
            </w:r>
          </w:p>
        </w:tc>
      </w:tr>
      <w:tr w:rsidR="00822F9A" w:rsidRPr="0088024E" w:rsidTr="00E33F2F">
        <w:trPr>
          <w:trHeight w:val="740"/>
          <w:jc w:val="center"/>
        </w:trPr>
        <w:tc>
          <w:tcPr>
            <w:tcW w:w="2654" w:type="dxa"/>
            <w:vAlign w:val="center"/>
          </w:tcPr>
          <w:p w:rsidR="00822F9A" w:rsidRPr="0088024E" w:rsidRDefault="00822F9A" w:rsidP="00E33F2F">
            <w:pPr>
              <w:jc w:val="center"/>
              <w:rPr>
                <w:rFonts w:cs="Arial"/>
              </w:rPr>
            </w:pPr>
            <w:r w:rsidRPr="0088024E">
              <w:rPr>
                <w:rFonts w:cs="Arial"/>
              </w:rPr>
              <w:t>Good</w:t>
            </w:r>
          </w:p>
        </w:tc>
        <w:tc>
          <w:tcPr>
            <w:tcW w:w="3177" w:type="dxa"/>
            <w:vAlign w:val="center"/>
          </w:tcPr>
          <w:p w:rsidR="00822F9A" w:rsidRPr="0088024E" w:rsidRDefault="00822F9A" w:rsidP="00E33F2F">
            <w:pPr>
              <w:jc w:val="center"/>
              <w:rPr>
                <w:rFonts w:cs="Arial"/>
              </w:rPr>
            </w:pPr>
            <w:r>
              <w:rPr>
                <w:rFonts w:cs="Arial"/>
              </w:rPr>
              <w:t>0.34</w:t>
            </w:r>
          </w:p>
        </w:tc>
        <w:tc>
          <w:tcPr>
            <w:tcW w:w="2884" w:type="dxa"/>
            <w:vAlign w:val="center"/>
          </w:tcPr>
          <w:p w:rsidR="00822F9A" w:rsidRPr="0088024E" w:rsidRDefault="00822F9A" w:rsidP="00E33F2F">
            <w:pPr>
              <w:jc w:val="center"/>
              <w:rPr>
                <w:rFonts w:cs="Arial"/>
              </w:rPr>
            </w:pPr>
            <w:r>
              <w:rPr>
                <w:rFonts w:cs="Arial"/>
              </w:rPr>
              <w:t>73.9</w:t>
            </w:r>
          </w:p>
        </w:tc>
      </w:tr>
      <w:tr w:rsidR="00822F9A" w:rsidRPr="0088024E" w:rsidTr="00E33F2F">
        <w:trPr>
          <w:trHeight w:val="755"/>
          <w:jc w:val="center"/>
        </w:trPr>
        <w:tc>
          <w:tcPr>
            <w:tcW w:w="2654" w:type="dxa"/>
            <w:vAlign w:val="center"/>
          </w:tcPr>
          <w:p w:rsidR="00822F9A" w:rsidRPr="0088024E" w:rsidRDefault="00822F9A" w:rsidP="00E33F2F">
            <w:pPr>
              <w:jc w:val="center"/>
              <w:rPr>
                <w:rFonts w:cs="Arial"/>
              </w:rPr>
            </w:pPr>
            <w:r w:rsidRPr="0088024E">
              <w:rPr>
                <w:rFonts w:cs="Arial"/>
              </w:rPr>
              <w:t>Poor</w:t>
            </w:r>
          </w:p>
        </w:tc>
        <w:tc>
          <w:tcPr>
            <w:tcW w:w="3177" w:type="dxa"/>
            <w:vAlign w:val="center"/>
          </w:tcPr>
          <w:p w:rsidR="00822F9A" w:rsidRPr="0088024E" w:rsidRDefault="00822F9A" w:rsidP="00E33F2F">
            <w:pPr>
              <w:jc w:val="center"/>
              <w:rPr>
                <w:rFonts w:cs="Arial"/>
              </w:rPr>
            </w:pPr>
            <w:r>
              <w:rPr>
                <w:rFonts w:cs="Arial"/>
              </w:rPr>
              <w:t>0.18</w:t>
            </w:r>
          </w:p>
        </w:tc>
        <w:tc>
          <w:tcPr>
            <w:tcW w:w="2884" w:type="dxa"/>
            <w:vAlign w:val="center"/>
          </w:tcPr>
          <w:p w:rsidR="00822F9A" w:rsidRPr="0088024E" w:rsidRDefault="00822F9A" w:rsidP="00E33F2F">
            <w:pPr>
              <w:jc w:val="center"/>
              <w:rPr>
                <w:rFonts w:cs="Arial"/>
              </w:rPr>
            </w:pPr>
            <w:r>
              <w:rPr>
                <w:rFonts w:cs="Arial"/>
              </w:rPr>
              <w:t>36.6</w:t>
            </w:r>
          </w:p>
        </w:tc>
      </w:tr>
      <w:tr w:rsidR="00822F9A" w:rsidRPr="0088024E" w:rsidTr="00E33F2F">
        <w:trPr>
          <w:trHeight w:val="740"/>
          <w:jc w:val="center"/>
        </w:trPr>
        <w:tc>
          <w:tcPr>
            <w:tcW w:w="2654" w:type="dxa"/>
            <w:vAlign w:val="center"/>
          </w:tcPr>
          <w:p w:rsidR="00822F9A" w:rsidRPr="0088024E" w:rsidRDefault="00822F9A" w:rsidP="00E33F2F">
            <w:pPr>
              <w:jc w:val="center"/>
              <w:rPr>
                <w:rFonts w:cs="Arial"/>
              </w:rPr>
            </w:pPr>
            <w:r>
              <w:rPr>
                <w:rFonts w:cs="Arial"/>
              </w:rPr>
              <w:t>Moribund</w:t>
            </w:r>
          </w:p>
        </w:tc>
        <w:tc>
          <w:tcPr>
            <w:tcW w:w="3177" w:type="dxa"/>
            <w:vAlign w:val="center"/>
          </w:tcPr>
          <w:p w:rsidR="00822F9A" w:rsidRPr="0088024E" w:rsidRDefault="00822F9A" w:rsidP="00E33F2F">
            <w:pPr>
              <w:jc w:val="center"/>
              <w:rPr>
                <w:rFonts w:cs="Arial"/>
              </w:rPr>
            </w:pPr>
            <w:r>
              <w:rPr>
                <w:rFonts w:cs="Arial"/>
              </w:rPr>
              <w:t>0.08</w:t>
            </w:r>
          </w:p>
        </w:tc>
        <w:tc>
          <w:tcPr>
            <w:tcW w:w="2884" w:type="dxa"/>
            <w:vAlign w:val="center"/>
          </w:tcPr>
          <w:p w:rsidR="00822F9A" w:rsidRPr="0088024E" w:rsidRDefault="00822F9A" w:rsidP="00E33F2F">
            <w:pPr>
              <w:keepNext/>
              <w:jc w:val="center"/>
              <w:rPr>
                <w:rFonts w:cs="Arial"/>
              </w:rPr>
            </w:pPr>
            <w:r>
              <w:rPr>
                <w:rFonts w:cs="Arial"/>
              </w:rPr>
              <w:t>5</w:t>
            </w:r>
          </w:p>
        </w:tc>
      </w:tr>
      <w:tr w:rsidR="00822F9A" w:rsidRPr="0088024E" w:rsidTr="00E33F2F">
        <w:trPr>
          <w:trHeight w:val="740"/>
          <w:jc w:val="center"/>
        </w:trPr>
        <w:tc>
          <w:tcPr>
            <w:tcW w:w="2654" w:type="dxa"/>
            <w:vAlign w:val="center"/>
          </w:tcPr>
          <w:p w:rsidR="00822F9A" w:rsidRDefault="00822F9A" w:rsidP="00E33F2F">
            <w:pPr>
              <w:jc w:val="center"/>
              <w:rPr>
                <w:rFonts w:cs="Arial"/>
              </w:rPr>
            </w:pPr>
            <w:r>
              <w:rPr>
                <w:rFonts w:cs="Arial"/>
              </w:rPr>
              <w:t>Dead</w:t>
            </w:r>
          </w:p>
        </w:tc>
        <w:tc>
          <w:tcPr>
            <w:tcW w:w="3177" w:type="dxa"/>
            <w:vAlign w:val="center"/>
          </w:tcPr>
          <w:p w:rsidR="00822F9A" w:rsidRDefault="00822F9A" w:rsidP="00E33F2F">
            <w:pPr>
              <w:jc w:val="center"/>
              <w:rPr>
                <w:rFonts w:cs="Arial"/>
              </w:rPr>
            </w:pPr>
            <w:r>
              <w:rPr>
                <w:rFonts w:cs="Arial"/>
              </w:rPr>
              <w:t>0.01</w:t>
            </w:r>
          </w:p>
        </w:tc>
        <w:tc>
          <w:tcPr>
            <w:tcW w:w="2884" w:type="dxa"/>
            <w:vAlign w:val="center"/>
          </w:tcPr>
          <w:p w:rsidR="00822F9A" w:rsidRDefault="00822F9A" w:rsidP="00E33F2F">
            <w:pPr>
              <w:keepNext/>
              <w:jc w:val="center"/>
              <w:rPr>
                <w:rFonts w:cs="Arial"/>
              </w:rPr>
            </w:pPr>
            <w:r>
              <w:rPr>
                <w:rFonts w:cs="Arial"/>
              </w:rPr>
              <w:t>-</w:t>
            </w:r>
          </w:p>
        </w:tc>
      </w:tr>
    </w:tbl>
    <w:p w:rsidR="00822F9A" w:rsidRDefault="00822F9A" w:rsidP="00822F9A"/>
    <w:p w:rsidR="00822F9A" w:rsidRDefault="00822F9A" w:rsidP="00822F9A"/>
    <w:p w:rsidR="00822F9A" w:rsidRDefault="00822F9A" w:rsidP="004D6717">
      <w:pPr>
        <w:rPr>
          <w:u w:val="single"/>
        </w:rPr>
      </w:pPr>
    </w:p>
    <w:p w:rsidR="006F719A" w:rsidRDefault="006F719A" w:rsidP="004D6717">
      <w:pPr>
        <w:rPr>
          <w:u w:val="single"/>
        </w:rPr>
      </w:pPr>
      <w:r>
        <w:rPr>
          <w:u w:val="single"/>
        </w:rPr>
        <w:t>Results</w:t>
      </w:r>
    </w:p>
    <w:p w:rsidR="006F719A" w:rsidRDefault="00822F9A" w:rsidP="004D6717">
      <w:r>
        <w:t>When weighted to the proportion of fish in each vigour category in the total catch, t</w:t>
      </w:r>
      <w:r w:rsidR="006F719A">
        <w:t>he estimated survival in the observation period was 64.4%.</w:t>
      </w:r>
      <w:r>
        <w:t xml:space="preserve"> As the rate of mortality had reduced within the observation time; the forecast survival estimate was comparable to that at the end of the observation period, 47.1%-62.8%.</w:t>
      </w:r>
    </w:p>
    <w:p w:rsidR="005E2971" w:rsidRDefault="005E2971" w:rsidP="005E2971">
      <w:r>
        <w:t>The study identified a number of potential stressors on the captive fish associated with the methodology in this study, which are likely to have resulted in experimental induced mortality and therefore underestimated survival. Specifically these stressors included:</w:t>
      </w:r>
    </w:p>
    <w:p w:rsidR="005E2971" w:rsidRDefault="005E2971" w:rsidP="005E2971">
      <w:pPr>
        <w:pStyle w:val="Default"/>
      </w:pP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t xml:space="preserve">Handling fish to conduct the vitality assessments, length measurements and to put fish into the on-board tanks </w:t>
      </w: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t xml:space="preserve">Captivity in the on-board tanks (movement caused by vessel movement; proximity with other fish; serial flow of water from top to bottom tank) </w:t>
      </w: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t xml:space="preserve">Stopping water flow to on-board tanks on approach to port until docked (reducing dO2) </w:t>
      </w: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t xml:space="preserve">Transfer of fish into tubs (handling of fish) </w:t>
      </w: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t xml:space="preserve">Carrying tubs off the vessel and transporting, by van, to onshore holding tanks (increased temperature, reduced dO2, movement) </w:t>
      </w:r>
    </w:p>
    <w:p w:rsidR="005E2971" w:rsidRPr="00606A66" w:rsidRDefault="005E2971" w:rsidP="005E2971">
      <w:pPr>
        <w:pStyle w:val="Default"/>
        <w:numPr>
          <w:ilvl w:val="0"/>
          <w:numId w:val="25"/>
        </w:numPr>
        <w:spacing w:after="68"/>
        <w:rPr>
          <w:rFonts w:ascii="Arial" w:hAnsi="Arial" w:cs="Arial"/>
          <w:szCs w:val="22"/>
        </w:rPr>
      </w:pPr>
      <w:r w:rsidRPr="00606A66">
        <w:rPr>
          <w:rFonts w:ascii="Arial" w:hAnsi="Arial" w:cs="Arial"/>
          <w:szCs w:val="22"/>
        </w:rPr>
        <w:lastRenderedPageBreak/>
        <w:t xml:space="preserve">Handling the fish to transfer into onshore tanks </w:t>
      </w:r>
    </w:p>
    <w:p w:rsidR="005E2971" w:rsidRDefault="005E2971" w:rsidP="005E2971">
      <w:pPr>
        <w:pStyle w:val="Default"/>
        <w:numPr>
          <w:ilvl w:val="0"/>
          <w:numId w:val="25"/>
        </w:numPr>
        <w:rPr>
          <w:rFonts w:ascii="Arial" w:hAnsi="Arial" w:cs="Arial"/>
          <w:szCs w:val="22"/>
        </w:rPr>
      </w:pPr>
      <w:r w:rsidRPr="00606A66">
        <w:rPr>
          <w:rFonts w:ascii="Arial" w:hAnsi="Arial" w:cs="Arial"/>
          <w:szCs w:val="22"/>
        </w:rPr>
        <w:t xml:space="preserve">Adjusting to salinity and temperature </w:t>
      </w:r>
    </w:p>
    <w:p w:rsidR="005E2971" w:rsidRDefault="005E2971" w:rsidP="005E2971">
      <w:pPr>
        <w:pStyle w:val="Default"/>
        <w:numPr>
          <w:ilvl w:val="0"/>
          <w:numId w:val="25"/>
        </w:numPr>
        <w:rPr>
          <w:rFonts w:ascii="Arial" w:hAnsi="Arial" w:cs="Arial"/>
          <w:szCs w:val="22"/>
        </w:rPr>
      </w:pPr>
      <w:r>
        <w:rPr>
          <w:rFonts w:ascii="Arial" w:hAnsi="Arial" w:cs="Arial"/>
          <w:szCs w:val="22"/>
        </w:rPr>
        <w:t>Monitoring captive fish using tail grab</w:t>
      </w:r>
    </w:p>
    <w:p w:rsidR="001D0440" w:rsidRPr="002A3561" w:rsidRDefault="001D0440" w:rsidP="001D0440">
      <w:pPr>
        <w:pStyle w:val="Heading1"/>
        <w:rPr>
          <w:color w:val="auto"/>
        </w:rPr>
      </w:pPr>
      <w:r>
        <w:rPr>
          <w:color w:val="auto"/>
        </w:rPr>
        <w:br/>
      </w:r>
      <w:r w:rsidRPr="002A3561">
        <w:rPr>
          <w:color w:val="auto"/>
        </w:rPr>
        <w:t>Conclusion</w:t>
      </w:r>
    </w:p>
    <w:p w:rsidR="00863135" w:rsidRDefault="00863135" w:rsidP="00863135">
      <w:pPr>
        <w:pStyle w:val="CefasSub-heading"/>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UK believes that the fishing practices in this study resulting in survival rates of 64% for bycatches of Plaice are representative of general fishing practices by the vessels fishing for sole using otter trawls in ICES areas </w:t>
      </w:r>
      <w:proofErr w:type="spellStart"/>
      <w:r>
        <w:rPr>
          <w:rFonts w:ascii="Arial" w:hAnsi="Arial" w:cs="Arial"/>
          <w:color w:val="000000" w:themeColor="text1"/>
          <w:sz w:val="24"/>
          <w:szCs w:val="24"/>
        </w:rPr>
        <w:t>VIId</w:t>
      </w:r>
      <w:proofErr w:type="spellEnd"/>
      <w:r>
        <w:rPr>
          <w:rFonts w:ascii="Arial" w:hAnsi="Arial" w:cs="Arial"/>
          <w:color w:val="000000" w:themeColor="text1"/>
          <w:sz w:val="24"/>
          <w:szCs w:val="24"/>
        </w:rPr>
        <w:t xml:space="preserve"> &amp; e.</w:t>
      </w:r>
    </w:p>
    <w:p w:rsidR="00863135" w:rsidRDefault="00863135" w:rsidP="00863135">
      <w:pPr>
        <w:pStyle w:val="CefasSub-heading"/>
        <w:spacing w:after="0" w:line="240" w:lineRule="auto"/>
        <w:jc w:val="both"/>
        <w:rPr>
          <w:rFonts w:ascii="Arial" w:hAnsi="Arial" w:cs="Arial"/>
          <w:color w:val="000000" w:themeColor="text1"/>
          <w:sz w:val="24"/>
          <w:szCs w:val="24"/>
        </w:rPr>
      </w:pPr>
    </w:p>
    <w:p w:rsidR="00863135" w:rsidRPr="00BE5898" w:rsidRDefault="00863135" w:rsidP="00863135">
      <w:pPr>
        <w:spacing w:after="0" w:line="240" w:lineRule="auto"/>
        <w:rPr>
          <w:rFonts w:cs="Arial"/>
          <w:color w:val="000000" w:themeColor="text1"/>
        </w:rPr>
      </w:pPr>
      <w:r w:rsidRPr="00BE5898">
        <w:rPr>
          <w:rFonts w:cs="Arial"/>
          <w:color w:val="000000" w:themeColor="text1"/>
        </w:rPr>
        <w:t>On this basis we would like to request a h</w:t>
      </w:r>
      <w:r w:rsidRPr="00BE5898">
        <w:rPr>
          <w:rFonts w:cs="Arial"/>
        </w:rPr>
        <w:t xml:space="preserve">igh survival exemption for </w:t>
      </w:r>
      <w:r>
        <w:rPr>
          <w:rFonts w:cs="Arial"/>
        </w:rPr>
        <w:t>plaice</w:t>
      </w:r>
      <w:r w:rsidRPr="00BE5898">
        <w:rPr>
          <w:rFonts w:cs="Arial"/>
        </w:rPr>
        <w:t xml:space="preserve"> caught by </w:t>
      </w:r>
      <w:r>
        <w:rPr>
          <w:rFonts w:cs="Arial"/>
        </w:rPr>
        <w:t xml:space="preserve">otter trawls </w:t>
      </w:r>
      <w:r w:rsidRPr="00BE5898">
        <w:rPr>
          <w:rFonts w:cs="Arial"/>
        </w:rPr>
        <w:t xml:space="preserve">in ICES </w:t>
      </w:r>
      <w:r>
        <w:rPr>
          <w:rFonts w:cs="Arial"/>
        </w:rPr>
        <w:t>A</w:t>
      </w:r>
      <w:r w:rsidRPr="00BE5898">
        <w:rPr>
          <w:rFonts w:cs="Arial"/>
        </w:rPr>
        <w:t>rea</w:t>
      </w:r>
      <w:r>
        <w:rPr>
          <w:rFonts w:cs="Arial"/>
        </w:rPr>
        <w:t>s</w:t>
      </w:r>
      <w:r w:rsidRPr="00BE5898">
        <w:rPr>
          <w:rFonts w:cs="Arial"/>
        </w:rPr>
        <w:t xml:space="preserve"> </w:t>
      </w:r>
      <w:proofErr w:type="spellStart"/>
      <w:r>
        <w:rPr>
          <w:rFonts w:cs="Arial"/>
        </w:rPr>
        <w:t>VIId</w:t>
      </w:r>
      <w:proofErr w:type="spellEnd"/>
      <w:r>
        <w:rPr>
          <w:rFonts w:cs="Arial"/>
        </w:rPr>
        <w:t xml:space="preserve"> &amp; e.</w:t>
      </w:r>
    </w:p>
    <w:p w:rsidR="00863135" w:rsidRDefault="00863135" w:rsidP="00863135">
      <w:pPr>
        <w:pStyle w:val="CefasSub-heading"/>
        <w:spacing w:after="0" w:line="240" w:lineRule="auto"/>
        <w:jc w:val="both"/>
        <w:rPr>
          <w:rFonts w:ascii="Arial" w:hAnsi="Arial" w:cs="Arial"/>
          <w:color w:val="000000" w:themeColor="text1"/>
          <w:sz w:val="24"/>
          <w:szCs w:val="24"/>
        </w:rPr>
      </w:pPr>
    </w:p>
    <w:p w:rsidR="001D0440" w:rsidRDefault="001D0440" w:rsidP="001D0440">
      <w:pPr>
        <w:spacing w:before="0" w:after="0" w:line="240" w:lineRule="auto"/>
        <w:rPr>
          <w:rFonts w:cs="Arial"/>
          <w:b/>
        </w:rPr>
      </w:pPr>
      <w:r>
        <w:rPr>
          <w:rFonts w:cs="Arial"/>
          <w:b/>
        </w:rPr>
        <w:br w:type="page"/>
      </w:r>
    </w:p>
    <w:p w:rsidR="00A30772" w:rsidRDefault="00A30772" w:rsidP="001D0440">
      <w:pPr>
        <w:spacing w:before="0" w:after="0" w:line="240" w:lineRule="auto"/>
        <w:rPr>
          <w:rFonts w:cs="Arial"/>
          <w:b/>
        </w:rPr>
        <w:sectPr w:rsidR="00A30772" w:rsidSect="002221A5">
          <w:headerReference w:type="default" r:id="rId11"/>
          <w:footerReference w:type="default" r:id="rId12"/>
          <w:pgSz w:w="11906" w:h="16838"/>
          <w:pgMar w:top="1134" w:right="1134" w:bottom="1134" w:left="1134" w:header="709" w:footer="414" w:gutter="0"/>
          <w:cols w:space="708"/>
          <w:docGrid w:linePitch="360"/>
        </w:sectPr>
      </w:pPr>
    </w:p>
    <w:p w:rsidR="002221A5" w:rsidRDefault="002221A5" w:rsidP="001D0440">
      <w:pPr>
        <w:spacing w:before="0" w:after="0" w:line="240" w:lineRule="auto"/>
        <w:rPr>
          <w:rFonts w:cs="Arial"/>
          <w:b/>
        </w:rPr>
      </w:pPr>
    </w:p>
    <w:p w:rsidR="002221A5" w:rsidRDefault="002221A5" w:rsidP="001D0440">
      <w:pPr>
        <w:spacing w:before="0" w:after="0" w:line="240" w:lineRule="auto"/>
        <w:rPr>
          <w:rFonts w:cs="Arial"/>
          <w:b/>
        </w:rPr>
      </w:pPr>
    </w:p>
    <w:p w:rsidR="001D0440" w:rsidRDefault="001D0440" w:rsidP="001D0440">
      <w:pPr>
        <w:rPr>
          <w:rFonts w:cs="Arial"/>
          <w:b/>
        </w:rPr>
      </w:pPr>
      <w:r>
        <w:rPr>
          <w:rFonts w:cs="Arial"/>
          <w:b/>
        </w:rPr>
        <w:t>Table 5: Completed STECF table for high survivability proposal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2000"/>
        <w:gridCol w:w="1606"/>
        <w:gridCol w:w="1623"/>
        <w:gridCol w:w="1623"/>
        <w:gridCol w:w="1623"/>
        <w:gridCol w:w="1623"/>
        <w:gridCol w:w="1604"/>
        <w:gridCol w:w="1623"/>
      </w:tblGrid>
      <w:tr w:rsidR="002221A5" w:rsidTr="00606B88">
        <w:tc>
          <w:tcPr>
            <w:tcW w:w="1235" w:type="dxa"/>
          </w:tcPr>
          <w:p w:rsidR="001D0440" w:rsidRDefault="001D0440" w:rsidP="00AF036C">
            <w:pPr>
              <w:rPr>
                <w:rFonts w:cs="Arial"/>
                <w:b/>
              </w:rPr>
            </w:pPr>
            <w:r>
              <w:rPr>
                <w:rFonts w:cs="Arial"/>
                <w:b/>
              </w:rPr>
              <w:t>Country</w:t>
            </w:r>
          </w:p>
        </w:tc>
        <w:tc>
          <w:tcPr>
            <w:tcW w:w="2000" w:type="dxa"/>
          </w:tcPr>
          <w:p w:rsidR="001D0440" w:rsidRDefault="001D0440" w:rsidP="00AF036C">
            <w:pPr>
              <w:rPr>
                <w:rFonts w:cs="Arial"/>
                <w:b/>
              </w:rPr>
            </w:pPr>
            <w:r>
              <w:rPr>
                <w:rFonts w:cs="Arial"/>
                <w:b/>
              </w:rPr>
              <w:t>Exemption applied for (species, area, gear type)</w:t>
            </w:r>
          </w:p>
        </w:tc>
        <w:tc>
          <w:tcPr>
            <w:tcW w:w="1606" w:type="dxa"/>
          </w:tcPr>
          <w:p w:rsidR="001D0440" w:rsidRDefault="001D0440" w:rsidP="00AF036C">
            <w:pPr>
              <w:rPr>
                <w:rFonts w:cs="Arial"/>
                <w:b/>
              </w:rPr>
            </w:pPr>
            <w:r>
              <w:rPr>
                <w:rFonts w:cs="Arial"/>
                <w:b/>
              </w:rPr>
              <w:t>Species as bycatch or target</w:t>
            </w:r>
          </w:p>
        </w:tc>
        <w:tc>
          <w:tcPr>
            <w:tcW w:w="1623" w:type="dxa"/>
          </w:tcPr>
          <w:p w:rsidR="001D0440" w:rsidRDefault="001D0440" w:rsidP="00AF036C">
            <w:pPr>
              <w:rPr>
                <w:rFonts w:cs="Arial"/>
                <w:b/>
              </w:rPr>
            </w:pPr>
            <w:r>
              <w:rPr>
                <w:rFonts w:cs="Arial"/>
                <w:b/>
              </w:rPr>
              <w:t xml:space="preserve">Number of vessels subject to the landing obligation </w:t>
            </w:r>
          </w:p>
        </w:tc>
        <w:tc>
          <w:tcPr>
            <w:tcW w:w="1623" w:type="dxa"/>
          </w:tcPr>
          <w:p w:rsidR="001D0440" w:rsidRDefault="001D0440" w:rsidP="00AF036C">
            <w:pPr>
              <w:rPr>
                <w:rFonts w:cs="Arial"/>
                <w:b/>
              </w:rPr>
            </w:pPr>
            <w:r>
              <w:rPr>
                <w:rFonts w:cs="Arial"/>
                <w:b/>
              </w:rPr>
              <w:t>Landings (by landing obligation subject vessels)</w:t>
            </w:r>
          </w:p>
        </w:tc>
        <w:tc>
          <w:tcPr>
            <w:tcW w:w="1623" w:type="dxa"/>
          </w:tcPr>
          <w:p w:rsidR="001D0440" w:rsidRDefault="001D0440" w:rsidP="00AF036C">
            <w:pPr>
              <w:rPr>
                <w:rFonts w:cs="Arial"/>
                <w:b/>
              </w:rPr>
            </w:pPr>
            <w:r>
              <w:rPr>
                <w:rFonts w:cs="Arial"/>
                <w:b/>
              </w:rPr>
              <w:t>Estimated Discards</w:t>
            </w:r>
          </w:p>
        </w:tc>
        <w:tc>
          <w:tcPr>
            <w:tcW w:w="1623" w:type="dxa"/>
          </w:tcPr>
          <w:p w:rsidR="001D0440" w:rsidRDefault="001D0440" w:rsidP="00AF036C">
            <w:pPr>
              <w:rPr>
                <w:rFonts w:cs="Arial"/>
                <w:b/>
              </w:rPr>
            </w:pPr>
            <w:r>
              <w:rPr>
                <w:rFonts w:cs="Arial"/>
                <w:b/>
              </w:rPr>
              <w:t>Estimated Catch</w:t>
            </w:r>
          </w:p>
        </w:tc>
        <w:tc>
          <w:tcPr>
            <w:tcW w:w="1604" w:type="dxa"/>
          </w:tcPr>
          <w:p w:rsidR="001D0440" w:rsidRDefault="001D0440" w:rsidP="00AF036C">
            <w:pPr>
              <w:rPr>
                <w:rFonts w:cs="Arial"/>
                <w:b/>
              </w:rPr>
            </w:pPr>
            <w:r>
              <w:rPr>
                <w:rFonts w:cs="Arial"/>
                <w:b/>
              </w:rPr>
              <w:t>Discard Rate</w:t>
            </w:r>
          </w:p>
        </w:tc>
        <w:tc>
          <w:tcPr>
            <w:tcW w:w="1623" w:type="dxa"/>
          </w:tcPr>
          <w:p w:rsidR="001D0440" w:rsidRDefault="001D0440" w:rsidP="00AF036C">
            <w:pPr>
              <w:rPr>
                <w:rFonts w:cs="Arial"/>
                <w:b/>
              </w:rPr>
            </w:pPr>
            <w:r>
              <w:rPr>
                <w:rFonts w:cs="Arial"/>
                <w:b/>
              </w:rPr>
              <w:t>Estimated discard survival rate from provided studies</w:t>
            </w:r>
          </w:p>
        </w:tc>
      </w:tr>
      <w:tr w:rsidR="002221A5" w:rsidTr="00606B88">
        <w:tc>
          <w:tcPr>
            <w:tcW w:w="1235" w:type="dxa"/>
          </w:tcPr>
          <w:p w:rsidR="001D0440" w:rsidRPr="00A3096C" w:rsidRDefault="001D0440" w:rsidP="00AF036C">
            <w:pPr>
              <w:rPr>
                <w:rFonts w:cs="Arial"/>
              </w:rPr>
            </w:pPr>
            <w:r>
              <w:rPr>
                <w:rFonts w:cs="Arial"/>
              </w:rPr>
              <w:t>UK</w:t>
            </w:r>
          </w:p>
        </w:tc>
        <w:tc>
          <w:tcPr>
            <w:tcW w:w="2000" w:type="dxa"/>
          </w:tcPr>
          <w:p w:rsidR="001D0440" w:rsidRDefault="001D0440" w:rsidP="00AF036C">
            <w:pPr>
              <w:rPr>
                <w:rFonts w:cs="Arial"/>
              </w:rPr>
            </w:pPr>
            <w:r>
              <w:rPr>
                <w:rFonts w:cs="Arial"/>
              </w:rPr>
              <w:t xml:space="preserve">Plaice </w:t>
            </w:r>
          </w:p>
          <w:p w:rsidR="00606B88" w:rsidRDefault="00606B88" w:rsidP="00AF036C">
            <w:pPr>
              <w:rPr>
                <w:rFonts w:cs="Arial"/>
              </w:rPr>
            </w:pPr>
            <w:proofErr w:type="spellStart"/>
            <w:r>
              <w:rPr>
                <w:rFonts w:cs="Arial"/>
              </w:rPr>
              <w:t>VIId</w:t>
            </w:r>
            <w:proofErr w:type="spellEnd"/>
            <w:r>
              <w:rPr>
                <w:rFonts w:cs="Arial"/>
              </w:rPr>
              <w:t xml:space="preserve"> and </w:t>
            </w:r>
            <w:proofErr w:type="spellStart"/>
            <w:r>
              <w:rPr>
                <w:rFonts w:cs="Arial"/>
              </w:rPr>
              <w:t>VIIe</w:t>
            </w:r>
            <w:proofErr w:type="spellEnd"/>
          </w:p>
          <w:p w:rsidR="00606B88" w:rsidRPr="00470CE2" w:rsidRDefault="00606B88" w:rsidP="00AF036C">
            <w:pPr>
              <w:rPr>
                <w:rFonts w:cs="Arial"/>
              </w:rPr>
            </w:pPr>
            <w:r>
              <w:rPr>
                <w:rFonts w:cs="Arial"/>
              </w:rPr>
              <w:t>TR vessels using Otter Trawls</w:t>
            </w:r>
          </w:p>
        </w:tc>
        <w:tc>
          <w:tcPr>
            <w:tcW w:w="1606" w:type="dxa"/>
          </w:tcPr>
          <w:p w:rsidR="001D0440" w:rsidRPr="00470CE2" w:rsidRDefault="001D0440" w:rsidP="00AF036C">
            <w:pPr>
              <w:rPr>
                <w:rFonts w:cs="Arial"/>
              </w:rPr>
            </w:pPr>
            <w:r>
              <w:rPr>
                <w:rFonts w:cs="Arial"/>
              </w:rPr>
              <w:t xml:space="preserve">By catch </w:t>
            </w:r>
          </w:p>
        </w:tc>
        <w:tc>
          <w:tcPr>
            <w:tcW w:w="1623" w:type="dxa"/>
          </w:tcPr>
          <w:p w:rsidR="001D0440" w:rsidRPr="00E432F8" w:rsidRDefault="003C3C8A" w:rsidP="00AF036C">
            <w:pPr>
              <w:rPr>
                <w:rFonts w:cs="Arial"/>
              </w:rPr>
            </w:pPr>
            <w:r>
              <w:rPr>
                <w:rFonts w:cs="Arial"/>
              </w:rPr>
              <w:t>205</w:t>
            </w:r>
          </w:p>
        </w:tc>
        <w:tc>
          <w:tcPr>
            <w:tcW w:w="1623" w:type="dxa"/>
          </w:tcPr>
          <w:p w:rsidR="001D0440" w:rsidRPr="002D67DF" w:rsidRDefault="003C3C8A" w:rsidP="00AF036C">
            <w:pPr>
              <w:rPr>
                <w:rFonts w:cs="Arial"/>
              </w:rPr>
            </w:pPr>
            <w:r>
              <w:rPr>
                <w:rFonts w:cs="Arial"/>
              </w:rPr>
              <w:t>504t</w:t>
            </w:r>
          </w:p>
        </w:tc>
        <w:tc>
          <w:tcPr>
            <w:tcW w:w="1623" w:type="dxa"/>
          </w:tcPr>
          <w:p w:rsidR="001D0440" w:rsidRPr="003C3C8A" w:rsidRDefault="003C3C8A" w:rsidP="00AF036C">
            <w:pPr>
              <w:rPr>
                <w:rFonts w:cs="Arial"/>
              </w:rPr>
            </w:pPr>
            <w:r>
              <w:rPr>
                <w:rFonts w:cs="Arial"/>
              </w:rPr>
              <w:t>237t</w:t>
            </w:r>
          </w:p>
        </w:tc>
        <w:tc>
          <w:tcPr>
            <w:tcW w:w="1623" w:type="dxa"/>
          </w:tcPr>
          <w:p w:rsidR="001D0440" w:rsidRPr="003C3C8A" w:rsidRDefault="003C3C8A" w:rsidP="00AF036C">
            <w:pPr>
              <w:rPr>
                <w:rFonts w:cs="Arial"/>
              </w:rPr>
            </w:pPr>
            <w:r>
              <w:rPr>
                <w:rFonts w:cs="Arial"/>
              </w:rPr>
              <w:t>741t</w:t>
            </w:r>
          </w:p>
        </w:tc>
        <w:tc>
          <w:tcPr>
            <w:tcW w:w="1604" w:type="dxa"/>
          </w:tcPr>
          <w:p w:rsidR="001D0440" w:rsidRPr="00D17373" w:rsidRDefault="00DE5C0E" w:rsidP="00AF036C">
            <w:pPr>
              <w:rPr>
                <w:rFonts w:cs="Arial"/>
              </w:rPr>
            </w:pPr>
            <w:r>
              <w:rPr>
                <w:rFonts w:cs="Arial"/>
              </w:rPr>
              <w:t>32%</w:t>
            </w:r>
          </w:p>
        </w:tc>
        <w:tc>
          <w:tcPr>
            <w:tcW w:w="1623" w:type="dxa"/>
          </w:tcPr>
          <w:p w:rsidR="001D0440" w:rsidRPr="003B016F" w:rsidRDefault="00DE5C0E" w:rsidP="00AF036C">
            <w:pPr>
              <w:rPr>
                <w:rFonts w:cs="Arial"/>
              </w:rPr>
            </w:pPr>
            <w:r>
              <w:rPr>
                <w:rFonts w:cs="Arial"/>
              </w:rPr>
              <w:t>64%</w:t>
            </w:r>
          </w:p>
        </w:tc>
      </w:tr>
    </w:tbl>
    <w:p w:rsidR="001D0440" w:rsidRDefault="001D0440" w:rsidP="001D0440">
      <w:pPr>
        <w:rPr>
          <w:rFonts w:cs="Arial"/>
          <w:b/>
        </w:rPr>
      </w:pPr>
    </w:p>
    <w:p w:rsidR="001A3E9E" w:rsidRDefault="001A3E9E"/>
    <w:sectPr w:rsidR="001A3E9E" w:rsidSect="00A30772">
      <w:pgSz w:w="16838" w:h="11906" w:orient="landscape"/>
      <w:pgMar w:top="1134" w:right="1134"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0A" w:rsidRDefault="0056420A" w:rsidP="008F75C1">
      <w:pPr>
        <w:spacing w:before="0" w:after="0" w:line="240" w:lineRule="auto"/>
      </w:pPr>
      <w:r>
        <w:separator/>
      </w:r>
    </w:p>
  </w:endnote>
  <w:endnote w:type="continuationSeparator" w:id="0">
    <w:p w:rsidR="0056420A" w:rsidRDefault="0056420A" w:rsidP="008F7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48630"/>
      <w:docPartObj>
        <w:docPartGallery w:val="Page Numbers (Bottom of Page)"/>
        <w:docPartUnique/>
      </w:docPartObj>
    </w:sdtPr>
    <w:sdtEndPr>
      <w:rPr>
        <w:noProof/>
      </w:rPr>
    </w:sdtEndPr>
    <w:sdtContent>
      <w:p w:rsidR="007326BB" w:rsidRDefault="007326BB">
        <w:pPr>
          <w:pStyle w:val="Footer"/>
          <w:jc w:val="center"/>
        </w:pPr>
        <w:r>
          <w:fldChar w:fldCharType="begin"/>
        </w:r>
        <w:r>
          <w:instrText xml:space="preserve"> PAGE   \* MERGEFORMAT </w:instrText>
        </w:r>
        <w:r>
          <w:fldChar w:fldCharType="separate"/>
        </w:r>
        <w:r w:rsidR="0093265F">
          <w:rPr>
            <w:noProof/>
          </w:rPr>
          <w:t>1</w:t>
        </w:r>
        <w:r>
          <w:rPr>
            <w:noProof/>
          </w:rPr>
          <w:fldChar w:fldCharType="end"/>
        </w:r>
      </w:p>
    </w:sdtContent>
  </w:sdt>
  <w:p w:rsidR="007326BB" w:rsidRDefault="007326BB" w:rsidP="002A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0A" w:rsidRDefault="0056420A" w:rsidP="008F75C1">
      <w:pPr>
        <w:spacing w:before="0" w:after="0" w:line="240" w:lineRule="auto"/>
      </w:pPr>
      <w:r>
        <w:separator/>
      </w:r>
    </w:p>
  </w:footnote>
  <w:footnote w:type="continuationSeparator" w:id="0">
    <w:p w:rsidR="0056420A" w:rsidRDefault="0056420A" w:rsidP="008F75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6BB" w:rsidRDefault="007326BB">
    <w:pPr>
      <w:pStyle w:val="Header"/>
    </w:pPr>
  </w:p>
  <w:p w:rsidR="007326BB" w:rsidRDefault="00732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2DF8A"/>
    <w:lvl w:ilvl="0">
      <w:start w:val="1"/>
      <w:numFmt w:val="decimal"/>
      <w:lvlText w:val="%1."/>
      <w:lvlJc w:val="left"/>
      <w:pPr>
        <w:tabs>
          <w:tab w:val="num" w:pos="1492"/>
        </w:tabs>
        <w:ind w:left="1492" w:hanging="360"/>
      </w:pPr>
    </w:lvl>
  </w:abstractNum>
  <w:abstractNum w:abstractNumId="1">
    <w:nsid w:val="FFFFFF7D"/>
    <w:multiLevelType w:val="singleLevel"/>
    <w:tmpl w:val="A2AE8A3A"/>
    <w:lvl w:ilvl="0">
      <w:start w:val="1"/>
      <w:numFmt w:val="decimal"/>
      <w:lvlText w:val="%1."/>
      <w:lvlJc w:val="left"/>
      <w:pPr>
        <w:tabs>
          <w:tab w:val="num" w:pos="1209"/>
        </w:tabs>
        <w:ind w:left="1209" w:hanging="360"/>
      </w:pPr>
    </w:lvl>
  </w:abstractNum>
  <w:abstractNum w:abstractNumId="2">
    <w:nsid w:val="FFFFFF7E"/>
    <w:multiLevelType w:val="singleLevel"/>
    <w:tmpl w:val="16088B10"/>
    <w:lvl w:ilvl="0">
      <w:start w:val="1"/>
      <w:numFmt w:val="decimal"/>
      <w:lvlText w:val="%1."/>
      <w:lvlJc w:val="left"/>
      <w:pPr>
        <w:tabs>
          <w:tab w:val="num" w:pos="926"/>
        </w:tabs>
        <w:ind w:left="926" w:hanging="360"/>
      </w:pPr>
    </w:lvl>
  </w:abstractNum>
  <w:abstractNum w:abstractNumId="3">
    <w:nsid w:val="FFFFFF7F"/>
    <w:multiLevelType w:val="singleLevel"/>
    <w:tmpl w:val="3AE24C30"/>
    <w:lvl w:ilvl="0">
      <w:start w:val="1"/>
      <w:numFmt w:val="decimal"/>
      <w:lvlText w:val="%1."/>
      <w:lvlJc w:val="left"/>
      <w:pPr>
        <w:tabs>
          <w:tab w:val="num" w:pos="643"/>
        </w:tabs>
        <w:ind w:left="643" w:hanging="360"/>
      </w:pPr>
    </w:lvl>
  </w:abstractNum>
  <w:abstractNum w:abstractNumId="4">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E03282"/>
    <w:lvl w:ilvl="0">
      <w:start w:val="1"/>
      <w:numFmt w:val="decimal"/>
      <w:lvlText w:val="%1."/>
      <w:lvlJc w:val="left"/>
      <w:pPr>
        <w:tabs>
          <w:tab w:val="num" w:pos="360"/>
        </w:tabs>
        <w:ind w:left="360" w:hanging="360"/>
      </w:pPr>
    </w:lvl>
  </w:abstractNum>
  <w:abstractNum w:abstractNumId="9">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nsid w:val="02274B42"/>
    <w:multiLevelType w:val="hybridMultilevel"/>
    <w:tmpl w:val="5DFAB472"/>
    <w:lvl w:ilvl="0" w:tplc="D1F8B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0C20AA"/>
    <w:multiLevelType w:val="hybridMultilevel"/>
    <w:tmpl w:val="7E02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8711E8"/>
    <w:multiLevelType w:val="hybridMultilevel"/>
    <w:tmpl w:val="294E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A9588E"/>
    <w:multiLevelType w:val="hybridMultilevel"/>
    <w:tmpl w:val="ADAAC184"/>
    <w:lvl w:ilvl="0" w:tplc="80F0D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95335"/>
    <w:multiLevelType w:val="hybridMultilevel"/>
    <w:tmpl w:val="5E4AAD4C"/>
    <w:lvl w:ilvl="0" w:tplc="C46AAAC2">
      <w:start w:val="1"/>
      <w:numFmt w:val="decimal"/>
      <w:lvlText w:val="(%1)"/>
      <w:lvlJc w:val="left"/>
      <w:pPr>
        <w:ind w:left="1080" w:hanging="360"/>
      </w:pPr>
      <w:rPr>
        <w:rFonts w:cs="Arial"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7E5E88"/>
    <w:multiLevelType w:val="hybridMultilevel"/>
    <w:tmpl w:val="E0F4A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2A3D3E"/>
    <w:multiLevelType w:val="hybridMultilevel"/>
    <w:tmpl w:val="9E72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C753C"/>
    <w:multiLevelType w:val="hybridMultilevel"/>
    <w:tmpl w:val="CBDA1090"/>
    <w:lvl w:ilvl="0" w:tplc="631EF60C">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D4CE2"/>
    <w:multiLevelType w:val="hybridMultilevel"/>
    <w:tmpl w:val="0104759E"/>
    <w:lvl w:ilvl="0" w:tplc="B0902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5A10A7"/>
    <w:multiLevelType w:val="hybridMultilevel"/>
    <w:tmpl w:val="37EEFE36"/>
    <w:lvl w:ilvl="0" w:tplc="04162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C1757F"/>
    <w:multiLevelType w:val="hybridMultilevel"/>
    <w:tmpl w:val="9B2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07329A"/>
    <w:multiLevelType w:val="hybridMultilevel"/>
    <w:tmpl w:val="ED4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F0FC2"/>
    <w:multiLevelType w:val="hybridMultilevel"/>
    <w:tmpl w:val="633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13A27"/>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128BB"/>
    <w:multiLevelType w:val="hybridMultilevel"/>
    <w:tmpl w:val="9D9E5C30"/>
    <w:lvl w:ilvl="0" w:tplc="8E32851E">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9"/>
  </w:num>
  <w:num w:numId="14">
    <w:abstractNumId w:val="10"/>
  </w:num>
  <w:num w:numId="15">
    <w:abstractNumId w:val="13"/>
  </w:num>
  <w:num w:numId="16">
    <w:abstractNumId w:val="18"/>
  </w:num>
  <w:num w:numId="17">
    <w:abstractNumId w:val="16"/>
  </w:num>
  <w:num w:numId="18">
    <w:abstractNumId w:val="11"/>
  </w:num>
  <w:num w:numId="19">
    <w:abstractNumId w:val="24"/>
  </w:num>
  <w:num w:numId="20">
    <w:abstractNumId w:val="17"/>
  </w:num>
  <w:num w:numId="21">
    <w:abstractNumId w:val="22"/>
  </w:num>
  <w:num w:numId="22">
    <w:abstractNumId w:val="15"/>
  </w:num>
  <w:num w:numId="23">
    <w:abstractNumId w:val="23"/>
  </w:num>
  <w:num w:numId="24">
    <w:abstractNumId w:val="12"/>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son, Dominik">
    <w15:presenceInfo w15:providerId="AD" w15:userId="S-1-5-21-2460336825-3585246265-3150112067-160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BC"/>
    <w:rsid w:val="000060BD"/>
    <w:rsid w:val="000170B9"/>
    <w:rsid w:val="00021969"/>
    <w:rsid w:val="00022CB4"/>
    <w:rsid w:val="00023CB1"/>
    <w:rsid w:val="000341BF"/>
    <w:rsid w:val="00035654"/>
    <w:rsid w:val="000611B8"/>
    <w:rsid w:val="00066937"/>
    <w:rsid w:val="00073AE6"/>
    <w:rsid w:val="00083C59"/>
    <w:rsid w:val="00085122"/>
    <w:rsid w:val="000857E1"/>
    <w:rsid w:val="0009370A"/>
    <w:rsid w:val="00094B54"/>
    <w:rsid w:val="000C010E"/>
    <w:rsid w:val="000C2FDF"/>
    <w:rsid w:val="000C38DC"/>
    <w:rsid w:val="000D2EDE"/>
    <w:rsid w:val="000D4C91"/>
    <w:rsid w:val="000E20D4"/>
    <w:rsid w:val="000F449F"/>
    <w:rsid w:val="001074C3"/>
    <w:rsid w:val="001163B8"/>
    <w:rsid w:val="0011732D"/>
    <w:rsid w:val="00122585"/>
    <w:rsid w:val="0012503A"/>
    <w:rsid w:val="00130D72"/>
    <w:rsid w:val="00133B16"/>
    <w:rsid w:val="00136C7D"/>
    <w:rsid w:val="001415C9"/>
    <w:rsid w:val="001465C4"/>
    <w:rsid w:val="001505D9"/>
    <w:rsid w:val="00150FE1"/>
    <w:rsid w:val="00157435"/>
    <w:rsid w:val="001673F5"/>
    <w:rsid w:val="00167930"/>
    <w:rsid w:val="00171CA7"/>
    <w:rsid w:val="00172A78"/>
    <w:rsid w:val="00196B1C"/>
    <w:rsid w:val="001A3E9E"/>
    <w:rsid w:val="001B1B96"/>
    <w:rsid w:val="001B2872"/>
    <w:rsid w:val="001B382E"/>
    <w:rsid w:val="001C415A"/>
    <w:rsid w:val="001C5D20"/>
    <w:rsid w:val="001D0440"/>
    <w:rsid w:val="001E30E0"/>
    <w:rsid w:val="001F19BC"/>
    <w:rsid w:val="001F5A79"/>
    <w:rsid w:val="001F6B60"/>
    <w:rsid w:val="00205668"/>
    <w:rsid w:val="0021629E"/>
    <w:rsid w:val="00220F5D"/>
    <w:rsid w:val="002221A5"/>
    <w:rsid w:val="002259C0"/>
    <w:rsid w:val="002419CA"/>
    <w:rsid w:val="00241C22"/>
    <w:rsid w:val="002564BF"/>
    <w:rsid w:val="00270078"/>
    <w:rsid w:val="00270D28"/>
    <w:rsid w:val="002761C8"/>
    <w:rsid w:val="00276621"/>
    <w:rsid w:val="002777EF"/>
    <w:rsid w:val="00280886"/>
    <w:rsid w:val="00281ABD"/>
    <w:rsid w:val="002838C6"/>
    <w:rsid w:val="0029180A"/>
    <w:rsid w:val="0029720C"/>
    <w:rsid w:val="002A3561"/>
    <w:rsid w:val="002C0121"/>
    <w:rsid w:val="002C01A4"/>
    <w:rsid w:val="002C512E"/>
    <w:rsid w:val="002D2E4A"/>
    <w:rsid w:val="002D2EAC"/>
    <w:rsid w:val="002D3375"/>
    <w:rsid w:val="002D518F"/>
    <w:rsid w:val="002D67DF"/>
    <w:rsid w:val="002E34FD"/>
    <w:rsid w:val="002E660A"/>
    <w:rsid w:val="002F0AB6"/>
    <w:rsid w:val="003046CA"/>
    <w:rsid w:val="00321BDD"/>
    <w:rsid w:val="00323F8E"/>
    <w:rsid w:val="003450AC"/>
    <w:rsid w:val="0034546C"/>
    <w:rsid w:val="00347737"/>
    <w:rsid w:val="00355928"/>
    <w:rsid w:val="00363478"/>
    <w:rsid w:val="0038360D"/>
    <w:rsid w:val="003846BA"/>
    <w:rsid w:val="00387656"/>
    <w:rsid w:val="00390525"/>
    <w:rsid w:val="00393354"/>
    <w:rsid w:val="003939A6"/>
    <w:rsid w:val="003A0CB5"/>
    <w:rsid w:val="003A1BF8"/>
    <w:rsid w:val="003A3448"/>
    <w:rsid w:val="003A3BB7"/>
    <w:rsid w:val="003B016F"/>
    <w:rsid w:val="003C2EB0"/>
    <w:rsid w:val="003C3C8A"/>
    <w:rsid w:val="003D390B"/>
    <w:rsid w:val="003E0342"/>
    <w:rsid w:val="003E118D"/>
    <w:rsid w:val="003E30A2"/>
    <w:rsid w:val="003E6901"/>
    <w:rsid w:val="00401240"/>
    <w:rsid w:val="004029F4"/>
    <w:rsid w:val="0040736E"/>
    <w:rsid w:val="00414904"/>
    <w:rsid w:val="0042032F"/>
    <w:rsid w:val="00423098"/>
    <w:rsid w:val="004446F5"/>
    <w:rsid w:val="0045752E"/>
    <w:rsid w:val="00461902"/>
    <w:rsid w:val="00462541"/>
    <w:rsid w:val="004654AE"/>
    <w:rsid w:val="00470CE2"/>
    <w:rsid w:val="00476002"/>
    <w:rsid w:val="00485503"/>
    <w:rsid w:val="00487D20"/>
    <w:rsid w:val="00492A9C"/>
    <w:rsid w:val="004A0C2C"/>
    <w:rsid w:val="004A470D"/>
    <w:rsid w:val="004A63B9"/>
    <w:rsid w:val="004B2A3A"/>
    <w:rsid w:val="004C1049"/>
    <w:rsid w:val="004C5090"/>
    <w:rsid w:val="004C6FD8"/>
    <w:rsid w:val="004C76BA"/>
    <w:rsid w:val="004D6717"/>
    <w:rsid w:val="004E5D8B"/>
    <w:rsid w:val="004E67ED"/>
    <w:rsid w:val="004F0442"/>
    <w:rsid w:val="00505936"/>
    <w:rsid w:val="00507BBD"/>
    <w:rsid w:val="00510A7F"/>
    <w:rsid w:val="005115C4"/>
    <w:rsid w:val="005159F3"/>
    <w:rsid w:val="00517317"/>
    <w:rsid w:val="005210B3"/>
    <w:rsid w:val="0052399E"/>
    <w:rsid w:val="0052670F"/>
    <w:rsid w:val="005417A0"/>
    <w:rsid w:val="00542081"/>
    <w:rsid w:val="00553148"/>
    <w:rsid w:val="0056420A"/>
    <w:rsid w:val="00580DAC"/>
    <w:rsid w:val="005829C2"/>
    <w:rsid w:val="00586B9D"/>
    <w:rsid w:val="005974DA"/>
    <w:rsid w:val="005A3AE4"/>
    <w:rsid w:val="005B5A97"/>
    <w:rsid w:val="005B7C14"/>
    <w:rsid w:val="005D1342"/>
    <w:rsid w:val="005D6019"/>
    <w:rsid w:val="005D670C"/>
    <w:rsid w:val="005E2971"/>
    <w:rsid w:val="006002DD"/>
    <w:rsid w:val="006061DC"/>
    <w:rsid w:val="00606B88"/>
    <w:rsid w:val="00610BC5"/>
    <w:rsid w:val="0061309D"/>
    <w:rsid w:val="00614959"/>
    <w:rsid w:val="00624AF6"/>
    <w:rsid w:val="00625F22"/>
    <w:rsid w:val="006315C8"/>
    <w:rsid w:val="00636594"/>
    <w:rsid w:val="006424BF"/>
    <w:rsid w:val="00642FF5"/>
    <w:rsid w:val="006557D6"/>
    <w:rsid w:val="00666038"/>
    <w:rsid w:val="00672232"/>
    <w:rsid w:val="00692F5B"/>
    <w:rsid w:val="00696FD3"/>
    <w:rsid w:val="006A1AE8"/>
    <w:rsid w:val="006B2597"/>
    <w:rsid w:val="006B466B"/>
    <w:rsid w:val="006B50FC"/>
    <w:rsid w:val="006C7955"/>
    <w:rsid w:val="006D0EF2"/>
    <w:rsid w:val="006D7042"/>
    <w:rsid w:val="006E1FCD"/>
    <w:rsid w:val="006E401F"/>
    <w:rsid w:val="006F636E"/>
    <w:rsid w:val="006F6B3F"/>
    <w:rsid w:val="006F719A"/>
    <w:rsid w:val="006F7B80"/>
    <w:rsid w:val="0070362B"/>
    <w:rsid w:val="00705F18"/>
    <w:rsid w:val="0071201F"/>
    <w:rsid w:val="00720569"/>
    <w:rsid w:val="00720ED4"/>
    <w:rsid w:val="00724EB4"/>
    <w:rsid w:val="00726F97"/>
    <w:rsid w:val="007326BB"/>
    <w:rsid w:val="00734443"/>
    <w:rsid w:val="0074425F"/>
    <w:rsid w:val="00744E44"/>
    <w:rsid w:val="00752AAA"/>
    <w:rsid w:val="00754B8B"/>
    <w:rsid w:val="00754D3B"/>
    <w:rsid w:val="00762167"/>
    <w:rsid w:val="00762C4E"/>
    <w:rsid w:val="007665C7"/>
    <w:rsid w:val="0076706F"/>
    <w:rsid w:val="0076742F"/>
    <w:rsid w:val="007818DB"/>
    <w:rsid w:val="00787D59"/>
    <w:rsid w:val="007A2007"/>
    <w:rsid w:val="007A43C3"/>
    <w:rsid w:val="007B1F91"/>
    <w:rsid w:val="007C2038"/>
    <w:rsid w:val="007D266F"/>
    <w:rsid w:val="007D4E33"/>
    <w:rsid w:val="007E179C"/>
    <w:rsid w:val="007E4898"/>
    <w:rsid w:val="007E781F"/>
    <w:rsid w:val="00810663"/>
    <w:rsid w:val="00815AC9"/>
    <w:rsid w:val="00822F9A"/>
    <w:rsid w:val="00824331"/>
    <w:rsid w:val="00826E64"/>
    <w:rsid w:val="00835A45"/>
    <w:rsid w:val="008472D3"/>
    <w:rsid w:val="00850133"/>
    <w:rsid w:val="00854B29"/>
    <w:rsid w:val="0086107E"/>
    <w:rsid w:val="00863135"/>
    <w:rsid w:val="00866032"/>
    <w:rsid w:val="0086795B"/>
    <w:rsid w:val="00874DE8"/>
    <w:rsid w:val="0088024E"/>
    <w:rsid w:val="008823BB"/>
    <w:rsid w:val="008A10CD"/>
    <w:rsid w:val="008A2304"/>
    <w:rsid w:val="008A3642"/>
    <w:rsid w:val="008A5A2B"/>
    <w:rsid w:val="008B3238"/>
    <w:rsid w:val="008C3A73"/>
    <w:rsid w:val="008D7BA9"/>
    <w:rsid w:val="008F1756"/>
    <w:rsid w:val="008F494B"/>
    <w:rsid w:val="008F4B7E"/>
    <w:rsid w:val="008F75C1"/>
    <w:rsid w:val="00900357"/>
    <w:rsid w:val="009012B5"/>
    <w:rsid w:val="00901A7A"/>
    <w:rsid w:val="00902FB0"/>
    <w:rsid w:val="009039F3"/>
    <w:rsid w:val="009146C9"/>
    <w:rsid w:val="00914D88"/>
    <w:rsid w:val="00927887"/>
    <w:rsid w:val="00930AD1"/>
    <w:rsid w:val="0093265F"/>
    <w:rsid w:val="00942E84"/>
    <w:rsid w:val="00943887"/>
    <w:rsid w:val="0095313A"/>
    <w:rsid w:val="009537FB"/>
    <w:rsid w:val="009562A3"/>
    <w:rsid w:val="009567EF"/>
    <w:rsid w:val="00963467"/>
    <w:rsid w:val="00970531"/>
    <w:rsid w:val="0099226D"/>
    <w:rsid w:val="0099414F"/>
    <w:rsid w:val="009B05E6"/>
    <w:rsid w:val="009B14A0"/>
    <w:rsid w:val="009B2B88"/>
    <w:rsid w:val="009B4C64"/>
    <w:rsid w:val="009B6E7A"/>
    <w:rsid w:val="009C0C43"/>
    <w:rsid w:val="009E073E"/>
    <w:rsid w:val="009F1098"/>
    <w:rsid w:val="00A074E7"/>
    <w:rsid w:val="00A10894"/>
    <w:rsid w:val="00A13958"/>
    <w:rsid w:val="00A157B4"/>
    <w:rsid w:val="00A30772"/>
    <w:rsid w:val="00A3096C"/>
    <w:rsid w:val="00A35B26"/>
    <w:rsid w:val="00A37F15"/>
    <w:rsid w:val="00A434D7"/>
    <w:rsid w:val="00A51FDB"/>
    <w:rsid w:val="00A603D2"/>
    <w:rsid w:val="00A73384"/>
    <w:rsid w:val="00A806C4"/>
    <w:rsid w:val="00A873A8"/>
    <w:rsid w:val="00A87686"/>
    <w:rsid w:val="00A87DE2"/>
    <w:rsid w:val="00A9026C"/>
    <w:rsid w:val="00AB2DE6"/>
    <w:rsid w:val="00AB327A"/>
    <w:rsid w:val="00AB4FD4"/>
    <w:rsid w:val="00AB7AC2"/>
    <w:rsid w:val="00AC1522"/>
    <w:rsid w:val="00AD0A13"/>
    <w:rsid w:val="00AD29B8"/>
    <w:rsid w:val="00AE0C4F"/>
    <w:rsid w:val="00AE1D4A"/>
    <w:rsid w:val="00AE79AF"/>
    <w:rsid w:val="00B05198"/>
    <w:rsid w:val="00B05DCF"/>
    <w:rsid w:val="00B16FCC"/>
    <w:rsid w:val="00B20BCD"/>
    <w:rsid w:val="00B21EB0"/>
    <w:rsid w:val="00B24E76"/>
    <w:rsid w:val="00B35B3A"/>
    <w:rsid w:val="00B377EF"/>
    <w:rsid w:val="00B44FBD"/>
    <w:rsid w:val="00B45C76"/>
    <w:rsid w:val="00B5021A"/>
    <w:rsid w:val="00B55421"/>
    <w:rsid w:val="00B70AF5"/>
    <w:rsid w:val="00B74050"/>
    <w:rsid w:val="00B825C3"/>
    <w:rsid w:val="00B83E79"/>
    <w:rsid w:val="00B873E1"/>
    <w:rsid w:val="00B9329A"/>
    <w:rsid w:val="00B93ADF"/>
    <w:rsid w:val="00BA2393"/>
    <w:rsid w:val="00BA3810"/>
    <w:rsid w:val="00BA5594"/>
    <w:rsid w:val="00BB2225"/>
    <w:rsid w:val="00BB22C1"/>
    <w:rsid w:val="00BB4D2C"/>
    <w:rsid w:val="00BC0A24"/>
    <w:rsid w:val="00BC1E71"/>
    <w:rsid w:val="00BC2898"/>
    <w:rsid w:val="00BD6B21"/>
    <w:rsid w:val="00BD6B59"/>
    <w:rsid w:val="00BE0619"/>
    <w:rsid w:val="00C13E7B"/>
    <w:rsid w:val="00C15F04"/>
    <w:rsid w:val="00C16DAD"/>
    <w:rsid w:val="00C235FB"/>
    <w:rsid w:val="00C27825"/>
    <w:rsid w:val="00C30BA4"/>
    <w:rsid w:val="00C3725B"/>
    <w:rsid w:val="00C40255"/>
    <w:rsid w:val="00C47D18"/>
    <w:rsid w:val="00C541E0"/>
    <w:rsid w:val="00C57066"/>
    <w:rsid w:val="00C57EA9"/>
    <w:rsid w:val="00C626F8"/>
    <w:rsid w:val="00C6585B"/>
    <w:rsid w:val="00C66D64"/>
    <w:rsid w:val="00C70DBE"/>
    <w:rsid w:val="00C71B5F"/>
    <w:rsid w:val="00C74B70"/>
    <w:rsid w:val="00C87984"/>
    <w:rsid w:val="00C9318E"/>
    <w:rsid w:val="00C95355"/>
    <w:rsid w:val="00C96D4D"/>
    <w:rsid w:val="00CA2617"/>
    <w:rsid w:val="00CA5AFA"/>
    <w:rsid w:val="00CA6905"/>
    <w:rsid w:val="00CB07E5"/>
    <w:rsid w:val="00CC2E9E"/>
    <w:rsid w:val="00CC67CA"/>
    <w:rsid w:val="00CE687E"/>
    <w:rsid w:val="00CF2611"/>
    <w:rsid w:val="00CF6985"/>
    <w:rsid w:val="00D03809"/>
    <w:rsid w:val="00D07B32"/>
    <w:rsid w:val="00D10B7F"/>
    <w:rsid w:val="00D159CE"/>
    <w:rsid w:val="00D1646F"/>
    <w:rsid w:val="00D17373"/>
    <w:rsid w:val="00D17E2E"/>
    <w:rsid w:val="00D258AF"/>
    <w:rsid w:val="00D434DE"/>
    <w:rsid w:val="00D70CC6"/>
    <w:rsid w:val="00D761C7"/>
    <w:rsid w:val="00D8012F"/>
    <w:rsid w:val="00D859C1"/>
    <w:rsid w:val="00D863BC"/>
    <w:rsid w:val="00D95FCB"/>
    <w:rsid w:val="00DA0570"/>
    <w:rsid w:val="00DA063A"/>
    <w:rsid w:val="00DA2A67"/>
    <w:rsid w:val="00DB3916"/>
    <w:rsid w:val="00DC4542"/>
    <w:rsid w:val="00DD41D3"/>
    <w:rsid w:val="00DD70F0"/>
    <w:rsid w:val="00DE52D5"/>
    <w:rsid w:val="00DE5C0E"/>
    <w:rsid w:val="00DF0101"/>
    <w:rsid w:val="00DF3225"/>
    <w:rsid w:val="00DF3B2B"/>
    <w:rsid w:val="00E10E99"/>
    <w:rsid w:val="00E114FC"/>
    <w:rsid w:val="00E13C03"/>
    <w:rsid w:val="00E27A88"/>
    <w:rsid w:val="00E312D3"/>
    <w:rsid w:val="00E32948"/>
    <w:rsid w:val="00E34859"/>
    <w:rsid w:val="00E35915"/>
    <w:rsid w:val="00E432F8"/>
    <w:rsid w:val="00E47CB0"/>
    <w:rsid w:val="00E5538C"/>
    <w:rsid w:val="00E732D7"/>
    <w:rsid w:val="00E81841"/>
    <w:rsid w:val="00E906AD"/>
    <w:rsid w:val="00E956FE"/>
    <w:rsid w:val="00E963BE"/>
    <w:rsid w:val="00EB397D"/>
    <w:rsid w:val="00ED106B"/>
    <w:rsid w:val="00ED4ED1"/>
    <w:rsid w:val="00EE0915"/>
    <w:rsid w:val="00EF2698"/>
    <w:rsid w:val="00F05025"/>
    <w:rsid w:val="00F22F4B"/>
    <w:rsid w:val="00F560DA"/>
    <w:rsid w:val="00F67A83"/>
    <w:rsid w:val="00F7232E"/>
    <w:rsid w:val="00F7626A"/>
    <w:rsid w:val="00F768DA"/>
    <w:rsid w:val="00F8427B"/>
    <w:rsid w:val="00FD02EF"/>
    <w:rsid w:val="00FD0831"/>
    <w:rsid w:val="00FD1E11"/>
    <w:rsid w:val="00FD5BB9"/>
    <w:rsid w:val="00FE087F"/>
    <w:rsid w:val="00FE096E"/>
    <w:rsid w:val="00FF24B2"/>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uiPriority w:val="35"/>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CefasSub-headingChar">
    <w:name w:val="Cefas Sub-heading Char"/>
    <w:basedOn w:val="DefaultParagraphFont"/>
    <w:link w:val="CefasSub-heading"/>
    <w:locked/>
    <w:rsid w:val="00863135"/>
    <w:rPr>
      <w:rFonts w:ascii="Calibri" w:hAnsi="Calibri" w:cstheme="minorHAnsi"/>
      <w:bCs/>
      <w:color w:val="004C6F"/>
      <w:sz w:val="28"/>
      <w:szCs w:val="28"/>
    </w:rPr>
  </w:style>
  <w:style w:type="paragraph" w:customStyle="1" w:styleId="CefasSub-heading">
    <w:name w:val="Cefas Sub-heading"/>
    <w:basedOn w:val="Normal"/>
    <w:link w:val="CefasSub-headingChar"/>
    <w:qFormat/>
    <w:rsid w:val="00863135"/>
    <w:pPr>
      <w:spacing w:before="0" w:after="200"/>
    </w:pPr>
    <w:rPr>
      <w:rFonts w:ascii="Calibri" w:hAnsi="Calibri" w:cstheme="minorHAnsi"/>
      <w:bCs/>
      <w:color w:val="004C6F"/>
      <w:sz w:val="28"/>
      <w:szCs w:val="28"/>
      <w:lang w:eastAsia="en-GB"/>
    </w:rPr>
  </w:style>
  <w:style w:type="paragraph" w:customStyle="1" w:styleId="Default">
    <w:name w:val="Default"/>
    <w:rsid w:val="005E297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F560DA"/>
    <w:pPr>
      <w:keepNext/>
      <w:keepLines/>
      <w:widowControl w:val="0"/>
      <w:spacing w:before="600" w:line="240" w:lineRule="auto"/>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3A3448"/>
    <w:pPr>
      <w:keepNext/>
      <w:keepLines/>
      <w:widowControl w:val="0"/>
      <w:spacing w:before="200" w:line="240" w:lineRule="auto"/>
      <w:outlineLvl w:val="1"/>
    </w:pPr>
    <w:rPr>
      <w:rFonts w:eastAsia="Times New Roman"/>
      <w:b/>
      <w:bCs/>
      <w:color w:val="000000"/>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60DA"/>
    <w:rPr>
      <w:rFonts w:ascii="Arial" w:eastAsia="Times New Roman" w:hAnsi="Arial"/>
      <w:b/>
      <w:bCs/>
      <w:color w:val="000000"/>
      <w:sz w:val="28"/>
      <w:szCs w:val="28"/>
      <w:lang w:eastAsia="en-US"/>
    </w:rPr>
  </w:style>
  <w:style w:type="character" w:customStyle="1" w:styleId="Heading2Char">
    <w:name w:val="Heading 2 Char"/>
    <w:link w:val="Heading2"/>
    <w:uiPriority w:val="9"/>
    <w:rsid w:val="003A3448"/>
    <w:rPr>
      <w:rFonts w:ascii="Arial" w:eastAsia="Times New Roman" w:hAnsi="Arial"/>
      <w:b/>
      <w:bCs/>
      <w:color w:val="000000"/>
      <w:sz w:val="24"/>
      <w:szCs w:val="26"/>
      <w:lang w:eastAsia="en-US"/>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EndnoteText">
    <w:name w:val="endnote text"/>
    <w:basedOn w:val="Normal"/>
    <w:link w:val="EndnoteTextChar"/>
    <w:uiPriority w:val="99"/>
    <w:semiHidden/>
    <w:unhideWhenUsed/>
    <w:rsid w:val="008F75C1"/>
    <w:rPr>
      <w:sz w:val="20"/>
      <w:szCs w:val="20"/>
    </w:rPr>
  </w:style>
  <w:style w:type="character" w:customStyle="1" w:styleId="EndnoteTextChar">
    <w:name w:val="Endnote Text Char"/>
    <w:basedOn w:val="DefaultParagraphFont"/>
    <w:link w:val="EndnoteText"/>
    <w:uiPriority w:val="99"/>
    <w:semiHidden/>
    <w:rsid w:val="008F75C1"/>
    <w:rPr>
      <w:rFonts w:ascii="Arial" w:hAnsi="Arial"/>
      <w:lang w:eastAsia="en-US"/>
    </w:rPr>
  </w:style>
  <w:style w:type="character" w:styleId="EndnoteReference">
    <w:name w:val="endnote reference"/>
    <w:basedOn w:val="DefaultParagraphFont"/>
    <w:uiPriority w:val="99"/>
    <w:semiHidden/>
    <w:unhideWhenUsed/>
    <w:rsid w:val="008F75C1"/>
    <w:rPr>
      <w:vertAlign w:val="superscript"/>
    </w:rPr>
  </w:style>
  <w:style w:type="paragraph" w:styleId="FootnoteText">
    <w:name w:val="footnote text"/>
    <w:basedOn w:val="Normal"/>
    <w:link w:val="FootnoteTextChar"/>
    <w:uiPriority w:val="99"/>
    <w:semiHidden/>
    <w:unhideWhenUsed/>
    <w:rsid w:val="008F494B"/>
    <w:rPr>
      <w:sz w:val="20"/>
      <w:szCs w:val="20"/>
    </w:rPr>
  </w:style>
  <w:style w:type="character" w:customStyle="1" w:styleId="FootnoteTextChar">
    <w:name w:val="Footnote Text Char"/>
    <w:basedOn w:val="DefaultParagraphFont"/>
    <w:link w:val="FootnoteText"/>
    <w:uiPriority w:val="99"/>
    <w:semiHidden/>
    <w:rsid w:val="008F494B"/>
    <w:rPr>
      <w:rFonts w:ascii="Arial" w:hAnsi="Arial"/>
      <w:lang w:eastAsia="en-US"/>
    </w:rPr>
  </w:style>
  <w:style w:type="character" w:styleId="FootnoteReference">
    <w:name w:val="footnote reference"/>
    <w:basedOn w:val="DefaultParagraphFont"/>
    <w:uiPriority w:val="99"/>
    <w:semiHidden/>
    <w:unhideWhenUsed/>
    <w:rsid w:val="008F494B"/>
    <w:rPr>
      <w:vertAlign w:val="superscript"/>
    </w:rPr>
  </w:style>
  <w:style w:type="paragraph" w:styleId="BalloonText">
    <w:name w:val="Balloon Text"/>
    <w:basedOn w:val="Normal"/>
    <w:link w:val="BalloonTextChar"/>
    <w:uiPriority w:val="99"/>
    <w:semiHidden/>
    <w:unhideWhenUsed/>
    <w:rsid w:val="006A1A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E8"/>
    <w:rPr>
      <w:rFonts w:ascii="Tahoma" w:hAnsi="Tahoma" w:cs="Tahoma"/>
      <w:sz w:val="16"/>
      <w:szCs w:val="16"/>
      <w:lang w:eastAsia="en-US"/>
    </w:rPr>
  </w:style>
  <w:style w:type="paragraph" w:styleId="Bibliography">
    <w:name w:val="Bibliography"/>
    <w:basedOn w:val="Normal"/>
    <w:next w:val="Normal"/>
    <w:uiPriority w:val="37"/>
    <w:unhideWhenUsed/>
    <w:rsid w:val="005159F3"/>
  </w:style>
  <w:style w:type="character" w:styleId="CommentReference">
    <w:name w:val="annotation reference"/>
    <w:basedOn w:val="DefaultParagraphFont"/>
    <w:uiPriority w:val="99"/>
    <w:semiHidden/>
    <w:unhideWhenUsed/>
    <w:rsid w:val="007A2007"/>
    <w:rPr>
      <w:sz w:val="16"/>
      <w:szCs w:val="16"/>
    </w:rPr>
  </w:style>
  <w:style w:type="paragraph" w:styleId="CommentText">
    <w:name w:val="annotation text"/>
    <w:basedOn w:val="Normal"/>
    <w:link w:val="CommentTextChar"/>
    <w:uiPriority w:val="99"/>
    <w:unhideWhenUsed/>
    <w:rsid w:val="007A2007"/>
    <w:pPr>
      <w:spacing w:line="240" w:lineRule="auto"/>
    </w:pPr>
    <w:rPr>
      <w:sz w:val="20"/>
      <w:szCs w:val="20"/>
    </w:rPr>
  </w:style>
  <w:style w:type="character" w:customStyle="1" w:styleId="CommentTextChar">
    <w:name w:val="Comment Text Char"/>
    <w:basedOn w:val="DefaultParagraphFont"/>
    <w:link w:val="CommentText"/>
    <w:uiPriority w:val="99"/>
    <w:rsid w:val="007A20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2007"/>
    <w:rPr>
      <w:b/>
      <w:bCs/>
    </w:rPr>
  </w:style>
  <w:style w:type="character" w:customStyle="1" w:styleId="CommentSubjectChar">
    <w:name w:val="Comment Subject Char"/>
    <w:basedOn w:val="CommentTextChar"/>
    <w:link w:val="CommentSubject"/>
    <w:uiPriority w:val="99"/>
    <w:semiHidden/>
    <w:rsid w:val="007A2007"/>
    <w:rPr>
      <w:rFonts w:ascii="Arial" w:hAnsi="Arial"/>
      <w:b/>
      <w:bCs/>
      <w:lang w:eastAsia="en-US"/>
    </w:rPr>
  </w:style>
  <w:style w:type="paragraph" w:styleId="Caption">
    <w:name w:val="caption"/>
    <w:basedOn w:val="Normal"/>
    <w:next w:val="Normal"/>
    <w:uiPriority w:val="35"/>
    <w:unhideWhenUsed/>
    <w:qFormat/>
    <w:rsid w:val="00FE087F"/>
    <w:pPr>
      <w:spacing w:before="0" w:after="200" w:line="240" w:lineRule="auto"/>
    </w:pPr>
    <w:rPr>
      <w:b/>
      <w:bCs/>
      <w:color w:val="4F81BD" w:themeColor="accent1"/>
      <w:sz w:val="18"/>
      <w:szCs w:val="18"/>
    </w:rPr>
  </w:style>
  <w:style w:type="character" w:styleId="Hyperlink">
    <w:name w:val="Hyperlink"/>
    <w:basedOn w:val="DefaultParagraphFont"/>
    <w:uiPriority w:val="99"/>
    <w:unhideWhenUsed/>
    <w:rsid w:val="003E118D"/>
    <w:rPr>
      <w:color w:val="0000FF" w:themeColor="hyperlink"/>
      <w:u w:val="single"/>
    </w:rPr>
  </w:style>
  <w:style w:type="paragraph" w:styleId="ListParagraph">
    <w:name w:val="List Paragraph"/>
    <w:basedOn w:val="Normal"/>
    <w:uiPriority w:val="34"/>
    <w:rsid w:val="00476002"/>
    <w:pPr>
      <w:ind w:left="720"/>
      <w:contextualSpacing/>
    </w:pPr>
  </w:style>
  <w:style w:type="paragraph" w:styleId="NormalWeb">
    <w:name w:val="Normal (Web)"/>
    <w:basedOn w:val="Normal"/>
    <w:uiPriority w:val="99"/>
    <w:semiHidden/>
    <w:unhideWhenUsed/>
    <w:rsid w:val="00C235FB"/>
    <w:pPr>
      <w:spacing w:before="100" w:beforeAutospacing="1" w:after="100" w:afterAutospacing="1" w:line="240" w:lineRule="auto"/>
    </w:pPr>
    <w:rPr>
      <w:rFonts w:ascii="Times New Roman" w:eastAsia="Times New Roman" w:hAnsi="Times New Roman"/>
      <w:lang w:eastAsia="en-GB"/>
    </w:rPr>
  </w:style>
  <w:style w:type="character" w:styleId="Emphasis">
    <w:name w:val="Emphasis"/>
    <w:basedOn w:val="DefaultParagraphFont"/>
    <w:uiPriority w:val="20"/>
    <w:qFormat/>
    <w:rsid w:val="00C235FB"/>
    <w:rPr>
      <w:i/>
      <w:iCs/>
    </w:rPr>
  </w:style>
  <w:style w:type="character" w:customStyle="1" w:styleId="st1">
    <w:name w:val="st1"/>
    <w:basedOn w:val="DefaultParagraphFont"/>
    <w:rsid w:val="008A5A2B"/>
  </w:style>
  <w:style w:type="character" w:styleId="FollowedHyperlink">
    <w:name w:val="FollowedHyperlink"/>
    <w:basedOn w:val="DefaultParagraphFont"/>
    <w:uiPriority w:val="99"/>
    <w:semiHidden/>
    <w:unhideWhenUsed/>
    <w:rsid w:val="00D17E2E"/>
    <w:rPr>
      <w:color w:val="800080" w:themeColor="followedHyperlink"/>
      <w:u w:val="single"/>
    </w:rPr>
  </w:style>
  <w:style w:type="paragraph" w:styleId="Revision">
    <w:name w:val="Revision"/>
    <w:hidden/>
    <w:uiPriority w:val="99"/>
    <w:semiHidden/>
    <w:rsid w:val="006F636E"/>
    <w:rPr>
      <w:rFonts w:ascii="Arial" w:hAnsi="Arial"/>
      <w:sz w:val="24"/>
      <w:szCs w:val="24"/>
      <w:lang w:eastAsia="en-US"/>
    </w:rPr>
  </w:style>
  <w:style w:type="paragraph" w:styleId="Header">
    <w:name w:val="header"/>
    <w:basedOn w:val="Normal"/>
    <w:link w:val="HeaderChar"/>
    <w:uiPriority w:val="99"/>
    <w:unhideWhenUsed/>
    <w:rsid w:val="00744E4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44E44"/>
    <w:rPr>
      <w:rFonts w:ascii="Arial" w:hAnsi="Arial"/>
      <w:sz w:val="24"/>
      <w:szCs w:val="24"/>
      <w:lang w:eastAsia="en-US"/>
    </w:rPr>
  </w:style>
  <w:style w:type="paragraph" w:styleId="Footer">
    <w:name w:val="footer"/>
    <w:basedOn w:val="Normal"/>
    <w:link w:val="FooterChar"/>
    <w:uiPriority w:val="99"/>
    <w:unhideWhenUsed/>
    <w:rsid w:val="00744E4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44E44"/>
    <w:rPr>
      <w:rFonts w:ascii="Arial" w:hAnsi="Arial"/>
      <w:sz w:val="24"/>
      <w:szCs w:val="24"/>
      <w:lang w:eastAsia="en-US"/>
    </w:rPr>
  </w:style>
  <w:style w:type="table" w:customStyle="1" w:styleId="GridTable5Dark-Accent51">
    <w:name w:val="Grid Table 5 Dark - Accent 51"/>
    <w:basedOn w:val="TableNormal"/>
    <w:uiPriority w:val="50"/>
    <w:rsid w:val="0054208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CefasSub-headingChar">
    <w:name w:val="Cefas Sub-heading Char"/>
    <w:basedOn w:val="DefaultParagraphFont"/>
    <w:link w:val="CefasSub-heading"/>
    <w:locked/>
    <w:rsid w:val="00863135"/>
    <w:rPr>
      <w:rFonts w:ascii="Calibri" w:hAnsi="Calibri" w:cstheme="minorHAnsi"/>
      <w:bCs/>
      <w:color w:val="004C6F"/>
      <w:sz w:val="28"/>
      <w:szCs w:val="28"/>
    </w:rPr>
  </w:style>
  <w:style w:type="paragraph" w:customStyle="1" w:styleId="CefasSub-heading">
    <w:name w:val="Cefas Sub-heading"/>
    <w:basedOn w:val="Normal"/>
    <w:link w:val="CefasSub-headingChar"/>
    <w:qFormat/>
    <w:rsid w:val="00863135"/>
    <w:pPr>
      <w:spacing w:before="0" w:after="200"/>
    </w:pPr>
    <w:rPr>
      <w:rFonts w:ascii="Calibri" w:hAnsi="Calibri" w:cstheme="minorHAnsi"/>
      <w:bCs/>
      <w:color w:val="004C6F"/>
      <w:sz w:val="28"/>
      <w:szCs w:val="28"/>
      <w:lang w:eastAsia="en-GB"/>
    </w:rPr>
  </w:style>
  <w:style w:type="paragraph" w:customStyle="1" w:styleId="Default">
    <w:name w:val="Default"/>
    <w:rsid w:val="005E29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2774">
      <w:bodyDiv w:val="1"/>
      <w:marLeft w:val="0"/>
      <w:marRight w:val="0"/>
      <w:marTop w:val="0"/>
      <w:marBottom w:val="0"/>
      <w:divBdr>
        <w:top w:val="none" w:sz="0" w:space="0" w:color="auto"/>
        <w:left w:val="none" w:sz="0" w:space="0" w:color="auto"/>
        <w:bottom w:val="none" w:sz="0" w:space="0" w:color="auto"/>
        <w:right w:val="none" w:sz="0" w:space="0" w:color="auto"/>
      </w:divBdr>
      <w:divsChild>
        <w:div w:id="466436218">
          <w:marLeft w:val="0"/>
          <w:marRight w:val="0"/>
          <w:marTop w:val="0"/>
          <w:marBottom w:val="0"/>
          <w:divBdr>
            <w:top w:val="none" w:sz="0" w:space="0" w:color="auto"/>
            <w:left w:val="none" w:sz="0" w:space="0" w:color="auto"/>
            <w:bottom w:val="none" w:sz="0" w:space="0" w:color="auto"/>
            <w:right w:val="none" w:sz="0" w:space="0" w:color="auto"/>
          </w:divBdr>
          <w:divsChild>
            <w:div w:id="1524057540">
              <w:marLeft w:val="0"/>
              <w:marRight w:val="0"/>
              <w:marTop w:val="0"/>
              <w:marBottom w:val="0"/>
              <w:divBdr>
                <w:top w:val="none" w:sz="0" w:space="0" w:color="auto"/>
                <w:left w:val="none" w:sz="0" w:space="0" w:color="auto"/>
                <w:bottom w:val="none" w:sz="0" w:space="0" w:color="auto"/>
                <w:right w:val="none" w:sz="0" w:space="0" w:color="auto"/>
              </w:divBdr>
              <w:divsChild>
                <w:div w:id="13100889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2851099">
      <w:bodyDiv w:val="1"/>
      <w:marLeft w:val="0"/>
      <w:marRight w:val="0"/>
      <w:marTop w:val="0"/>
      <w:marBottom w:val="0"/>
      <w:divBdr>
        <w:top w:val="none" w:sz="0" w:space="0" w:color="auto"/>
        <w:left w:val="none" w:sz="0" w:space="0" w:color="auto"/>
        <w:bottom w:val="none" w:sz="0" w:space="0" w:color="auto"/>
        <w:right w:val="none" w:sz="0" w:space="0" w:color="auto"/>
      </w:divBdr>
    </w:div>
    <w:div w:id="19405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MMO14</b:Tag>
    <b:SourceType>Report</b:SourceType>
    <b:Guid>{509F348E-6342-485E-8CF1-F9E60D2377AA}</b:Guid>
    <b:Title>UK Sea Fisheries Statistics 2014</b:Title>
    <b:Year>2014</b:Year>
    <b:Author>
      <b:Author>
        <b:Corporate>Marine Management Organisation (MMO)</b:Corporate>
      </b:Author>
    </b:Author>
    <b:RefOrder>5</b:RefOrder>
  </b:Source>
  <b:Source>
    <b:Tag>Ana16</b:Tag>
    <b:SourceType>Report</b:SourceType>
    <b:Guid>{DF5C7919-8C94-499E-8707-293F39A43DCC}</b:Guid>
    <b:Author>
      <b:Author>
        <b:NameList>
          <b:Person>
            <b:Last>Santos</b:Last>
            <b:First>Ana</b:First>
            <b:Middle>Ribeiro</b:Middle>
          </b:Person>
          <b:Person>
            <b:Last>Duggan</b:Last>
            <b:First>Kevin</b:First>
          </b:Person>
          <b:Person>
            <b:Last>Catchpole</b:Last>
            <b:First>Thomas</b:First>
          </b:Person>
        </b:NameList>
      </b:Author>
    </b:Author>
    <b:Title>Estimating the discard survival rates of Common sole (Solea solea) in the English east coast inshore otter trawl fishery</b:Title>
    <b:Year>2016</b:Year>
    <b:Publisher>Cefas</b:Publisher>
    <b:RefOrder>1</b:RefOrder>
  </b:Source>
  <b:Source>
    <b:Tag>CFP</b:Tag>
    <b:SourceType>JournalArticle</b:SourceType>
    <b:Guid>{C672744D-1CEE-4E7E-AE48-5D8D8FA00093}</b:Guid>
    <b:Title>Regulation (EU) No 1380/2013 of the European Parliament and of the Council of 11 December 2013 on the Common Fisheries Policy</b:Title>
    <b:Year>2013</b:Year>
    <b:JournalName>Official Journal of the European Union</b:JournalName>
    <b:Pages>22-60</b:Pages>
    <b:Issue>354</b:Issue>
    <b:RefOrder>9</b:RefOrder>
  </b:Source>
  <b:Source>
    <b:Tag>ICE15</b:Tag>
    <b:SourceType>BookSection</b:SourceType>
    <b:Guid>{21689476-80D1-4BE3-B4EC-FF2F2B5C88CB}</b:Guid>
    <b:Title>Section 3.46: Sole (Solea solea) in Subarea IV (North Sea) (update)</b:Title>
    <b:Year>2015</b:Year>
    <b:Author>
      <b:Author>
        <b:Corporate>ICES</b:Corporate>
      </b:Author>
    </b:Author>
    <b:JournalName>ICES Advice on Fishing Opportunities, Catch and Effort: Greater North Sea Ecoregion</b:JournalName>
    <b:BookTitle>ICES Advice 2015, Book 6 - The Greater North Sea Ecoregion</b:BookTitle>
    <b:RefOrder>4</b:RefOrder>
  </b:Source>
  <b:Source>
    <b:Tag>ICE151</b:Tag>
    <b:SourceType>BookSection</b:SourceType>
    <b:Guid>{CFF913B6-FE4E-4177-84DD-9FB984EAF773}</b:Guid>
    <b:Author>
      <b:Author>
        <b:Corporate>ICES</b:Corporate>
      </b:Author>
    </b:Author>
    <b:Title>Section 3.44: Sole (Solea solea) in Division VIId (Eastern English Channel)</b:Title>
    <b:BookTitle>ICES Advice 2015, Book 6 - The Greater North Sea Ecoregion</b:BookTitle>
    <b:Year>2015</b:Year>
    <b:RefOrder>3</b:RefOrder>
  </b:Source>
  <b:Source>
    <b:Tag>Sea</b:Tag>
    <b:SourceType>InternetSite</b:SourceType>
    <b:Guid>{7890A134-870B-4813-89E9-42B936B87057}</b:Guid>
    <b:Title>Multi Rig Trawl - Sole triple rig</b:Title>
    <b:Author>
      <b:Author>
        <b:Corporate>Seafish</b:Corporate>
      </b:Author>
    </b:Author>
    <b:URL>http://www.seafish.org/geardb/gear/multi-rig-trawl-sole-triple-rig/</b:URL>
    <b:RefOrder>10</b:RefOrder>
  </b:Source>
  <b:Source>
    <b:Tag>Kou06</b:Tag>
    <b:SourceType>JournalArticle</b:SourceType>
    <b:Guid>{C5A3655C-5B1C-490C-B493-15DDA3F97EF5}</b:Guid>
    <b:Author>
      <b:Author>
        <b:NameList>
          <b:Person>
            <b:Last>Philippe</b:Last>
            <b:First>Koubbi</b:First>
          </b:Person>
          <b:Person>
            <b:Last>Christophe</b:Last>
            <b:First>Loots</b:First>
          </b:Person>
          <b:Person>
            <b:Last>Gwenaelle</b:Last>
            <b:First>Cotonnec</b:First>
          </b:Person>
          <b:Person>
            <b:Last>Xavier</b:Last>
            <b:First>Harlay</b:First>
          </b:Person>
          <b:Person>
            <b:Last>Alain</b:Last>
            <b:First>Grioche</b:First>
          </b:Person>
          <b:Person>
            <b:Last>Sandrine</b:Last>
            <b:First>Vaz</b:First>
          </b:Person>
          <b:Person>
            <b:Last>Corrine</b:Last>
            <b:First>Martin</b:First>
          </b:Person>
          <b:Person>
            <b:Last>Mike</b:Last>
            <b:First>Walkey</b:First>
          </b:Person>
          <b:Person>
            <b:Last>Andre</b:Last>
            <b:First>Carpentier</b:First>
          </b:Person>
        </b:NameList>
      </b:Author>
    </b:Author>
    <b:Title>Spatial patterns and GIS habitat modelling of Solea solea, Pleuronectes flesus and Limanda limanda fish larvae in the eastern English Channel during the spring</b:Title>
    <b:Year>2006</b:Year>
    <b:JournalName>Scientia Marina</b:JournalName>
    <b:Pages>147-157</b:Pages>
    <b:RefOrder>8</b:RefOrder>
  </b:Source>
  <b:Source>
    <b:Tag>Ell12</b:Tag>
    <b:SourceType>Report</b:SourceType>
    <b:Guid>{ADA9631F-249E-41FF-9D15-4D329E7E47D7}</b:Guid>
    <b:Author>
      <b:Author>
        <b:NameList>
          <b:Person>
            <b:Last>Ellis</b:Last>
            <b:First>J.R.</b:First>
          </b:Person>
          <b:Person>
            <b:Last>Milligan</b:Last>
            <b:First>S.P.</b:First>
          </b:Person>
          <b:Person>
            <b:Last>Readdy</b:Last>
            <b:First>L.</b:First>
          </b:Person>
          <b:Person>
            <b:Last>Taylor</b:Last>
            <b:First>N.</b:First>
          </b:Person>
          <b:Person>
            <b:Last>Brown</b:Last>
            <b:First>M.J.</b:First>
          </b:Person>
        </b:NameList>
      </b:Author>
    </b:Author>
    <b:Title>Spawning and nursery grounds of selected fish species in UK waters</b:Title>
    <b:Year>2012</b:Year>
    <b:Publisher>Cefas</b:Publisher>
    <b:City>Lowestoft</b:City>
    <b:RefOrder>6</b:RefOrder>
  </b:Source>
  <b:Source>
    <b:Tag>Cou98</b:Tag>
    <b:SourceType>Report</b:SourceType>
    <b:Guid>{39AD3F70-B598-4166-BCEC-50E211CE0AA3}</b:Guid>
    <b:Title>Fisheries Sensitivity Maps in British Waters</b:Title>
    <b:Year>1998</b:Year>
    <b:Author>
      <b:Author>
        <b:NameList>
          <b:Person>
            <b:Last>Coull</b:Last>
            <b:First>K.A.</b:First>
          </b:Person>
          <b:Person>
            <b:Last>Johnstone</b:Last>
            <b:First>R.</b:First>
          </b:Person>
          <b:Person>
            <b:Last>Rogers</b:Last>
            <b:First>S.I.</b:First>
          </b:Person>
        </b:NameList>
      </b:Author>
    </b:Author>
    <b:Publisher>UKOOA Ltd</b:Publisher>
    <b:RefOrder>7</b:RefOrder>
  </b:Source>
  <b:Source>
    <b:Tag>ICE152</b:Tag>
    <b:SourceType>BookSection</b:SourceType>
    <b:Guid>{79FBA276-5C4D-4082-A9A7-749F51B871BD}</b:Guid>
    <b:Title>Sole in Subarea VIId</b:Title>
    <b:Year>2015</b:Year>
    <b:BookTitle>Working Group on the Assessment of Demersal Stocks in the North Sea and Skagerrak (WGNSSK) Report 2015</b:BookTitle>
    <b:Pages>393-437</b:Pages>
    <b:Author>
      <b:Author>
        <b:Corporate>ICES</b:Corporate>
      </b:Author>
    </b:Author>
    <b:RefOrder>2</b:RefOrder>
  </b:Source>
  <b:Source>
    <b:Tag>IMA14</b:Tag>
    <b:SourceType>Report</b:SourceType>
    <b:Guid>{2E6FE60F-CE31-44A8-9727-D092F7E8A5EC}</b:Guid>
    <b:Author>
      <b:Author>
        <b:Corporate>IMARES Wageningen UR</b:Corporate>
      </b:Author>
    </b:Author>
    <b:Title>Discard Atlas of North Sea Fisheries</b:Title>
    <b:Year>2014</b:Year>
    <b:City>Wageningen</b:City>
    <b:RefOrder>11</b:RefOrder>
  </b:Source>
</b:Sources>
</file>

<file path=customXml/itemProps1.xml><?xml version="1.0" encoding="utf-8"?>
<ds:datastoreItem xmlns:ds="http://schemas.openxmlformats.org/officeDocument/2006/customXml" ds:itemID="{141E0134-E90B-417B-8D5A-A0BDACA9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Coppack, Simon (DEFRA)</dc:creator>
  <cp:lastModifiedBy>Horan, Helena</cp:lastModifiedBy>
  <cp:revision>4</cp:revision>
  <cp:lastPrinted>2017-05-15T15:45:00Z</cp:lastPrinted>
  <dcterms:created xsi:type="dcterms:W3CDTF">2018-05-30T15:56:00Z</dcterms:created>
  <dcterms:modified xsi:type="dcterms:W3CDTF">2018-05-31T08:49:00Z</dcterms:modified>
</cp:coreProperties>
</file>