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87" w:rsidRPr="0019087F" w:rsidRDefault="00C97F87" w:rsidP="00A71D7B">
      <w:pPr>
        <w:spacing w:line="276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noProof/>
          <w:lang w:val="en-IE" w:eastAsia="en-IE"/>
        </w:rPr>
        <w:drawing>
          <wp:inline distT="0" distB="0" distL="0" distR="0">
            <wp:extent cx="3238500" cy="10781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AC_logo_2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003" cy="108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F87" w:rsidRPr="0019087F" w:rsidRDefault="00C97F87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D21447" w:rsidRPr="0019087F" w:rsidRDefault="00D21447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F739C0" w:rsidRPr="0019087F" w:rsidRDefault="00ED3193" w:rsidP="00ED3193">
      <w:pPr>
        <w:spacing w:line="280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Registro de transparencia de la UE N° d</w:t>
      </w:r>
      <w:r w:rsidR="0019087F">
        <w:rPr>
          <w:rFonts w:cstheme="minorHAnsi"/>
          <w:b/>
          <w:lang w:val="es-ES"/>
        </w:rPr>
        <w:t xml:space="preserve">e </w:t>
      </w:r>
      <w:r w:rsidRPr="0019087F">
        <w:rPr>
          <w:rFonts w:cstheme="minorHAnsi"/>
          <w:b/>
          <w:lang w:val="es-ES"/>
        </w:rPr>
        <w:t>Id. 8900132344-29</w:t>
      </w:r>
    </w:p>
    <w:p w:rsidR="000F1CE3" w:rsidRPr="0019087F" w:rsidRDefault="000F1CE3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F739C0" w:rsidRPr="00D54274" w:rsidRDefault="00ED3193" w:rsidP="00ED3193">
      <w:pPr>
        <w:spacing w:line="280" w:lineRule="auto"/>
        <w:jc w:val="center"/>
        <w:rPr>
          <w:rFonts w:cstheme="minorHAnsi"/>
          <w:b/>
          <w:color w:val="FF0000"/>
          <w:sz w:val="32"/>
          <w:lang w:val="es-ES"/>
        </w:rPr>
      </w:pPr>
      <w:r w:rsidRPr="00D54274">
        <w:rPr>
          <w:rFonts w:cstheme="minorHAnsi"/>
          <w:b/>
          <w:color w:val="FF0000"/>
          <w:sz w:val="32"/>
          <w:lang w:val="es-ES"/>
        </w:rPr>
        <w:t>DIRECT</w:t>
      </w:r>
      <w:r w:rsidR="001134D7" w:rsidRPr="00D54274">
        <w:rPr>
          <w:rFonts w:cstheme="minorHAnsi"/>
          <w:b/>
          <w:color w:val="FF0000"/>
          <w:sz w:val="32"/>
          <w:lang w:val="es-ES"/>
        </w:rPr>
        <w:t xml:space="preserve">RICES </w:t>
      </w:r>
      <w:r w:rsidRPr="00D54274">
        <w:rPr>
          <w:rFonts w:cstheme="minorHAnsi"/>
          <w:b/>
          <w:color w:val="FF0000"/>
          <w:sz w:val="32"/>
          <w:lang w:val="es-ES"/>
        </w:rPr>
        <w:t>PARA LA REDACCIÓN DE</w:t>
      </w:r>
      <w:r w:rsidR="001134D7" w:rsidRPr="00D54274">
        <w:rPr>
          <w:rFonts w:cstheme="minorHAnsi"/>
          <w:b/>
          <w:color w:val="FF0000"/>
          <w:sz w:val="32"/>
          <w:lang w:val="es-ES"/>
        </w:rPr>
        <w:t xml:space="preserve"> DICTÁMENES</w:t>
      </w:r>
    </w:p>
    <w:p w:rsidR="000F1CE3" w:rsidRPr="0019087F" w:rsidRDefault="000F1CE3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F739C0" w:rsidRPr="0019087F" w:rsidRDefault="00ED3193" w:rsidP="00ED3193">
      <w:pPr>
        <w:spacing w:line="280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Respuesta a la comunicación de la Comisión Europea</w:t>
      </w:r>
    </w:p>
    <w:p w:rsidR="0072602F" w:rsidRPr="0019087F" w:rsidRDefault="00ED3193" w:rsidP="00A35005">
      <w:pPr>
        <w:spacing w:line="280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Consulta sobre l</w:t>
      </w:r>
      <w:r w:rsidR="001134D7" w:rsidRPr="0019087F">
        <w:rPr>
          <w:rFonts w:cstheme="minorHAnsi"/>
          <w:b/>
          <w:lang w:val="es-ES"/>
        </w:rPr>
        <w:t xml:space="preserve">as cuotas </w:t>
      </w:r>
      <w:r w:rsidRPr="0019087F">
        <w:rPr>
          <w:rFonts w:cstheme="minorHAnsi"/>
          <w:b/>
          <w:lang w:val="es-ES"/>
        </w:rPr>
        <w:t>de pesca para el 2017 (</w:t>
      </w:r>
      <w:hyperlink r:id="rId10" w:tgtFrame="_blank" w:tooltip="COM/2016/396" w:history="1">
        <w:r w:rsidRPr="0019087F">
          <w:rPr>
            <w:rStyle w:val="Hyperlink"/>
            <w:rFonts w:cstheme="minorHAnsi"/>
            <w:b/>
            <w:color w:val="auto"/>
            <w:lang w:val="es-ES"/>
          </w:rPr>
          <w:t>COM/2016/396</w:t>
        </w:r>
      </w:hyperlink>
      <w:r w:rsidRPr="0019087F">
        <w:rPr>
          <w:rFonts w:cstheme="minorHAnsi"/>
          <w:b/>
          <w:lang w:val="es-ES"/>
        </w:rPr>
        <w:t>)</w:t>
      </w:r>
      <w:r w:rsidR="00EF7ABF" w:rsidRPr="0019087F">
        <w:rPr>
          <w:rStyle w:val="FootnoteReference"/>
          <w:rFonts w:cstheme="minorHAnsi"/>
          <w:b/>
          <w:lang w:val="es-ES"/>
        </w:rPr>
        <w:footnoteReference w:id="1"/>
      </w:r>
      <w:r w:rsidR="000F1CE3" w:rsidRPr="0019087F">
        <w:rPr>
          <w:rFonts w:cstheme="minorHAnsi"/>
          <w:b/>
          <w:lang w:val="es-ES"/>
        </w:rPr>
        <w:t xml:space="preserve"> </w:t>
      </w:r>
    </w:p>
    <w:p w:rsidR="0072602F" w:rsidRPr="0019087F" w:rsidRDefault="0072602F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0F1CE3" w:rsidRPr="0019087F" w:rsidRDefault="00ED3193" w:rsidP="00ED3193">
      <w:pPr>
        <w:spacing w:line="280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Julio 2016</w:t>
      </w:r>
    </w:p>
    <w:p w:rsidR="00F739C0" w:rsidRPr="0019087F" w:rsidRDefault="00F739C0" w:rsidP="00F739C0">
      <w:pPr>
        <w:rPr>
          <w:rFonts w:cstheme="minorHAnsi"/>
          <w:b/>
          <w:lang w:val="es-ES"/>
        </w:rPr>
      </w:pPr>
    </w:p>
    <w:p w:rsidR="00F739C0" w:rsidRPr="0019087F" w:rsidRDefault="00F739C0" w:rsidP="00F739C0">
      <w:pPr>
        <w:rPr>
          <w:rFonts w:cstheme="minorHAnsi"/>
          <w:b/>
          <w:lang w:val="es-ES"/>
        </w:rPr>
      </w:pPr>
    </w:p>
    <w:p w:rsidR="00936E88" w:rsidRPr="00D54274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b/>
          <w:i/>
          <w:color w:val="808080" w:themeColor="background1" w:themeShade="80"/>
          <w:lang w:val="es-ES"/>
        </w:rPr>
      </w:pPr>
      <w:r w:rsidRPr="00D54274">
        <w:rPr>
          <w:rFonts w:cstheme="minorHAnsi"/>
          <w:b/>
          <w:i/>
          <w:color w:val="808080" w:themeColor="background1" w:themeShade="80"/>
          <w:lang w:val="es-ES"/>
        </w:rPr>
        <w:t>Nota sobre el proceso de redacción de dictámenes</w:t>
      </w:r>
    </w:p>
    <w:p w:rsidR="00936E88" w:rsidRPr="00D54274" w:rsidRDefault="001134D7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D54274">
        <w:rPr>
          <w:rFonts w:cstheme="minorHAnsi"/>
          <w:i/>
          <w:color w:val="808080" w:themeColor="background1" w:themeShade="80"/>
          <w:lang w:val="es-ES"/>
        </w:rPr>
        <w:t xml:space="preserve">En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años anteriores, el CC-ANOC ha venido respondiendo tanto al «documento de orientación» (es decir, a la consulta de la CE sobre los TAC) en otoño, como a la propuesta de TAC en diciembre</w:t>
      </w:r>
      <w:r w:rsidR="00D54274">
        <w:rPr>
          <w:rStyle w:val="FootnoteReference"/>
          <w:rFonts w:cstheme="minorHAnsi"/>
          <w:i/>
          <w:color w:val="808080" w:themeColor="background1" w:themeShade="80"/>
          <w:lang w:val="es-ES"/>
        </w:rPr>
        <w:footnoteReference w:id="2"/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.</w:t>
      </w:r>
      <w:r w:rsidR="00936E88" w:rsidRPr="00D54274">
        <w:rPr>
          <w:rFonts w:cstheme="minorHAnsi"/>
          <w:i/>
          <w:color w:val="808080" w:themeColor="background1" w:themeShade="80"/>
          <w:lang w:val="es-ES"/>
        </w:rPr>
        <w:t xml:space="preserve">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En la reunión de 2 de febrero de 2016, el Comité ejecutivo sugirió que había que ser eficaz y proactivo y presentar una contribución a la propuesta de TAC en curso de elaboración que tuviera en cuenta la consulta de la CE y el dict</w:t>
      </w:r>
      <w:r w:rsidR="0019087F" w:rsidRPr="00D54274">
        <w:rPr>
          <w:rFonts w:cstheme="minorHAnsi"/>
          <w:i/>
          <w:color w:val="808080" w:themeColor="background1" w:themeShade="80"/>
          <w:lang w:val="es-ES"/>
        </w:rPr>
        <w:t>amen del CIEM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.</w:t>
      </w:r>
      <w:r w:rsidR="00936E88" w:rsidRPr="00D54274">
        <w:rPr>
          <w:rFonts w:cstheme="minorHAnsi"/>
          <w:i/>
          <w:color w:val="808080" w:themeColor="background1" w:themeShade="80"/>
          <w:lang w:val="es-ES"/>
        </w:rPr>
        <w:t xml:space="preserve">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 xml:space="preserve">Con relación a los stocks </w:t>
      </w:r>
      <w:r w:rsidRPr="00D54274">
        <w:rPr>
          <w:rFonts w:cstheme="minorHAnsi"/>
          <w:i/>
          <w:color w:val="808080" w:themeColor="background1" w:themeShade="80"/>
          <w:lang w:val="es-ES"/>
        </w:rPr>
        <w:t xml:space="preserve">cuyo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 xml:space="preserve">dictamen CIEM se emite </w:t>
      </w:r>
      <w:r w:rsidRPr="00D54274">
        <w:rPr>
          <w:rFonts w:cstheme="minorHAnsi"/>
          <w:i/>
          <w:color w:val="808080" w:themeColor="background1" w:themeShade="80"/>
          <w:lang w:val="es-ES"/>
        </w:rPr>
        <w:t xml:space="preserve">en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otoño, el CC preparará su respuesta en noviembre.</w:t>
      </w:r>
    </w:p>
    <w:p w:rsidR="00936E88" w:rsidRPr="00D54274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D54274">
        <w:rPr>
          <w:rFonts w:cstheme="minorHAnsi"/>
          <w:i/>
          <w:color w:val="808080" w:themeColor="background1" w:themeShade="80"/>
          <w:lang w:val="es-ES"/>
        </w:rPr>
        <w:t>En este contexto, el Comité ejecutivo no contempla la redacción de un dictamen concreto relativo a la propuesta de TAC, a menos que haga falta tener en cuenta temas regionales específicos.</w:t>
      </w:r>
    </w:p>
    <w:p w:rsidR="005011DC" w:rsidRPr="00D54274" w:rsidRDefault="0019087F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D54274">
        <w:rPr>
          <w:rFonts w:cstheme="minorHAnsi"/>
          <w:i/>
          <w:color w:val="808080" w:themeColor="background1" w:themeShade="80"/>
          <w:lang w:val="es-ES"/>
        </w:rPr>
        <w:t xml:space="preserve">En reuniones que tendrán lugar en el mes de julio se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invitará a los Grupos de Trabajo a reflexionar sobre temas específicos relativos a las especies y a la gestión de su subregión respectiva</w:t>
      </w:r>
      <w:r w:rsidRPr="00D54274">
        <w:rPr>
          <w:rFonts w:cstheme="minorHAnsi"/>
          <w:i/>
          <w:color w:val="808080" w:themeColor="background1" w:themeShade="80"/>
          <w:lang w:val="es-ES"/>
        </w:rPr>
        <w:t>.</w:t>
      </w:r>
      <w:r w:rsidR="005011DC" w:rsidRPr="00D54274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CA3DAA" w:rsidRPr="00D54274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D54274">
        <w:rPr>
          <w:rFonts w:cstheme="minorHAnsi"/>
          <w:i/>
          <w:color w:val="808080" w:themeColor="background1" w:themeShade="80"/>
          <w:lang w:val="es-ES"/>
        </w:rPr>
        <w:t>El CC-ANOC espera contar con una respuesta a la consulta antes del 1 de septiembre de 2016.</w:t>
      </w:r>
      <w:r w:rsidR="00CA3DAA" w:rsidRPr="00D54274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AB48D4" w:rsidRPr="0019087F" w:rsidRDefault="00ED3193" w:rsidP="0019087F">
      <w:pPr>
        <w:spacing w:after="200" w:line="276" w:lineRule="auto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lastRenderedPageBreak/>
        <w:t>Observaciones generales</w:t>
      </w:r>
    </w:p>
    <w:p w:rsidR="008716A4" w:rsidRPr="0019087F" w:rsidRDefault="00ED3193" w:rsidP="00ED3193">
      <w:p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El CC-ANOC desea que este dictamen sea su principal contribución a la reflexión de la CE y de los Estados miembros afectados por las cuotas de pesca en las aguas noroccidentales.</w:t>
      </w:r>
      <w:r w:rsidR="00DB784C" w:rsidRPr="0019087F">
        <w:rPr>
          <w:rFonts w:cstheme="minorHAnsi"/>
          <w:lang w:val="es-ES"/>
        </w:rPr>
        <w:t xml:space="preserve"> </w:t>
      </w:r>
    </w:p>
    <w:p w:rsidR="00CA3DAA" w:rsidRPr="00E527F1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A concluir por el Com</w:t>
      </w:r>
      <w:bookmarkStart w:id="0" w:name="_GoBack"/>
      <w:bookmarkEnd w:id="0"/>
      <w:r w:rsidRPr="00E527F1">
        <w:rPr>
          <w:rFonts w:cstheme="minorHAnsi"/>
          <w:i/>
          <w:color w:val="808080" w:themeColor="background1" w:themeShade="80"/>
          <w:lang w:val="es-ES"/>
        </w:rPr>
        <w:t>ité ejecutivo</w:t>
      </w:r>
      <w:r w:rsidR="00541E73" w:rsidRPr="00E527F1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55635D" w:rsidRPr="0019087F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Documento de consulta</w:t>
      </w:r>
    </w:p>
    <w:p w:rsidR="00F57B46" w:rsidRPr="0019087F" w:rsidRDefault="00ED3193" w:rsidP="00ED3193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Plan plurianual – Uso de las series F</w:t>
      </w:r>
      <w:r w:rsidR="00A970F7" w:rsidRPr="0019087F">
        <w:rPr>
          <w:rFonts w:cstheme="minorHAnsi"/>
          <w:u w:val="single"/>
          <w:lang w:val="es-ES"/>
        </w:rPr>
        <w:t xml:space="preserve"> </w:t>
      </w:r>
    </w:p>
    <w:p w:rsidR="00F57B46" w:rsidRPr="0019087F" w:rsidRDefault="00ED3193" w:rsidP="00ED3193">
      <w:pPr>
        <w:pStyle w:val="ListParagraph"/>
        <w:numPr>
          <w:ilvl w:val="0"/>
          <w:numId w:val="37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Dictamen de las pesquerías mixtas para el mar Céltico.</w:t>
      </w:r>
    </w:p>
    <w:p w:rsidR="00F41A1E" w:rsidRPr="00E527F1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sobre la aplicación de dicho enfoque en las ANOC</w:t>
      </w:r>
    </w:p>
    <w:p w:rsidR="008E2B44" w:rsidRPr="0019087F" w:rsidRDefault="00ED3193" w:rsidP="00ED3193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Evolución del estado de los stocks</w:t>
      </w:r>
    </w:p>
    <w:p w:rsidR="008E2B44" w:rsidRPr="00E527F1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basadas en la contribución del GT (ver más abajo)</w:t>
      </w:r>
    </w:p>
    <w:p w:rsidR="008E2B44" w:rsidRPr="0019087F" w:rsidRDefault="00ED3193" w:rsidP="00ED3193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Propuestas de TAC para 2017</w:t>
      </w:r>
    </w:p>
    <w:p w:rsidR="00F57B46" w:rsidRPr="0019087F" w:rsidRDefault="00ED3193" w:rsidP="009F5E49">
      <w:pPr>
        <w:pStyle w:val="ListParagraph"/>
        <w:numPr>
          <w:ilvl w:val="0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evaluación del rendimiento máximo sostenible</w:t>
      </w:r>
      <w:r w:rsidR="009F5E49" w:rsidRPr="0019087F">
        <w:rPr>
          <w:rFonts w:cstheme="minorHAnsi"/>
          <w:lang w:val="es-ES"/>
        </w:rPr>
        <w:t xml:space="preserve"> (MSY en inglés)</w:t>
      </w:r>
    </w:p>
    <w:p w:rsidR="00F41A1E" w:rsidRPr="0019087F" w:rsidRDefault="009F5E49" w:rsidP="009F5E49">
      <w:pPr>
        <w:pStyle w:val="ListParagraph"/>
        <w:numPr>
          <w:ilvl w:val="0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Otros stocks:</w:t>
      </w:r>
    </w:p>
    <w:p w:rsidR="00F41A1E" w:rsidRPr="0019087F" w:rsidRDefault="009F5E49" w:rsidP="009F5E49">
      <w:pPr>
        <w:pStyle w:val="ListParagraph"/>
        <w:numPr>
          <w:ilvl w:val="1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datos para determinar los rendimientos máximos sostenibles aproximados.</w:t>
      </w:r>
    </w:p>
    <w:p w:rsidR="00F41A1E" w:rsidRPr="0019087F" w:rsidRDefault="009F5E49" w:rsidP="009F5E49">
      <w:pPr>
        <w:pStyle w:val="ListParagraph"/>
        <w:numPr>
          <w:ilvl w:val="1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tendencias evaluadas mediante estudios o series de capturas cronológicas.</w:t>
      </w:r>
    </w:p>
    <w:p w:rsidR="00F41A1E" w:rsidRPr="0019087F" w:rsidRDefault="009F5E49" w:rsidP="009F5E49">
      <w:pPr>
        <w:pStyle w:val="ListParagraph"/>
        <w:numPr>
          <w:ilvl w:val="1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presunción de estabilidad.</w:t>
      </w:r>
    </w:p>
    <w:p w:rsidR="00F41A1E" w:rsidRPr="0019087F" w:rsidRDefault="009F5E49" w:rsidP="009F5E49">
      <w:pPr>
        <w:pStyle w:val="ListParagraph"/>
        <w:numPr>
          <w:ilvl w:val="1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dictámenes biológicos.</w:t>
      </w:r>
    </w:p>
    <w:p w:rsidR="00F41A1E" w:rsidRPr="0019087F" w:rsidRDefault="009F5E49" w:rsidP="009F5E49">
      <w:pPr>
        <w:pStyle w:val="ListParagraph"/>
        <w:numPr>
          <w:ilvl w:val="0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TAC y obligación de desembarque de todas las capturas.</w:t>
      </w:r>
    </w:p>
    <w:p w:rsidR="00F41A1E" w:rsidRPr="00E527F1" w:rsidRDefault="009F5E49" w:rsidP="009F5E49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sobre la metodología propuesta basadas en una contribución del GT (ver más abajo)</w:t>
      </w:r>
    </w:p>
    <w:p w:rsidR="008E2B44" w:rsidRPr="0019087F" w:rsidRDefault="009F5E49" w:rsidP="009F5E49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Informe sobre la implantación de la obligación de desembarque</w:t>
      </w:r>
    </w:p>
    <w:p w:rsidR="00F0216E" w:rsidRPr="00E527F1" w:rsidRDefault="009F5E49" w:rsidP="00E527F1">
      <w:pPr>
        <w:spacing w:before="100" w:beforeAutospacing="1" w:after="100" w:afterAutospacing="1" w:line="280" w:lineRule="auto"/>
        <w:rPr>
          <w:rFonts w:cstheme="minorHAnsi"/>
          <w:i/>
          <w:color w:val="808080" w:themeColor="background1" w:themeShade="80"/>
          <w:lang w:val="es-ES"/>
        </w:rPr>
        <w:sectPr w:rsidR="00F0216E" w:rsidRPr="00E527F1" w:rsidSect="003D0689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generales sobre la contribución del GT (ver más abajo)</w:t>
      </w:r>
    </w:p>
    <w:p w:rsidR="008E2B44" w:rsidRPr="0019087F" w:rsidRDefault="008E2B44" w:rsidP="008E2B44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</w:p>
    <w:p w:rsidR="00BE61FF" w:rsidRPr="0019087F" w:rsidRDefault="009F5E49" w:rsidP="009F5E49">
      <w:pPr>
        <w:spacing w:before="100" w:beforeAutospacing="1" w:after="100" w:afterAutospacing="1" w:line="280" w:lineRule="auto"/>
        <w:jc w:val="both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Observaciones específicas por Región:</w:t>
      </w:r>
    </w:p>
    <w:p w:rsidR="00E527F1" w:rsidRDefault="009F5E49" w:rsidP="009F5E49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lang w:val="es-ES"/>
        </w:rPr>
      </w:pPr>
      <w:r w:rsidRPr="00E527F1">
        <w:rPr>
          <w:rFonts w:cstheme="minorHAnsi"/>
          <w:b/>
          <w:lang w:val="es-ES"/>
        </w:rPr>
        <w:t xml:space="preserve">Oeste de Escocia; zonas CIEM Vd (CE) VIa, VIb y </w:t>
      </w:r>
      <w:r w:rsidR="0019087F" w:rsidRPr="00E527F1">
        <w:rPr>
          <w:rFonts w:cstheme="minorHAnsi"/>
          <w:b/>
          <w:lang w:val="es-ES"/>
        </w:rPr>
        <w:t>A</w:t>
      </w:r>
      <w:r w:rsidRPr="00E527F1">
        <w:rPr>
          <w:rFonts w:cstheme="minorHAnsi"/>
          <w:b/>
          <w:lang w:val="es-ES"/>
        </w:rPr>
        <w:t>ccesos occidentales</w:t>
      </w:r>
      <w:r w:rsidR="00F0216E" w:rsidRPr="00E527F1">
        <w:rPr>
          <w:rFonts w:cstheme="minorHAnsi"/>
          <w:b/>
          <w:lang w:val="es-ES"/>
        </w:rPr>
        <w:t xml:space="preserve">    </w:t>
      </w:r>
    </w:p>
    <w:p w:rsidR="00F0216E" w:rsidRPr="00E527F1" w:rsidRDefault="009F5E49" w:rsidP="00E527F1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lang w:val="es-ES"/>
        </w:rPr>
      </w:pPr>
      <w:r w:rsidRPr="00E527F1">
        <w:rPr>
          <w:rFonts w:cstheme="minorHAnsi"/>
          <w:b/>
          <w:lang w:val="es-ES"/>
        </w:rPr>
        <w:t>[GT 1]</w:t>
      </w:r>
    </w:p>
    <w:p w:rsidR="00F0216E" w:rsidRPr="0019087F" w:rsidRDefault="009F5E49" w:rsidP="009F5E49">
      <w:pPr>
        <w:spacing w:before="100" w:beforeAutospacing="1"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Evolución del estado de los stocks</w:t>
      </w:r>
    </w:p>
    <w:p w:rsidR="00A8525F" w:rsidRPr="0019087F" w:rsidRDefault="009F5E49" w:rsidP="009F5E49">
      <w:p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 xml:space="preserve">Oeste de Escocia </w:t>
      </w:r>
    </w:p>
    <w:p w:rsidR="00BE61FF" w:rsidRPr="0019087F" w:rsidRDefault="009F5E49" w:rsidP="009F5E49">
      <w:p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Especies de aguas profundas</w:t>
      </w:r>
    </w:p>
    <w:p w:rsidR="00BE61FF" w:rsidRPr="0019087F" w:rsidRDefault="00BE61FF" w:rsidP="00BE61FF">
      <w:pPr>
        <w:spacing w:line="276" w:lineRule="auto"/>
        <w:jc w:val="both"/>
        <w:rPr>
          <w:rFonts w:cstheme="minorHAnsi"/>
          <w:u w:val="single"/>
          <w:lang w:val="es-ES"/>
        </w:rPr>
      </w:pPr>
    </w:p>
    <w:p w:rsidR="009E7B35" w:rsidRPr="0019087F" w:rsidRDefault="009F5E49" w:rsidP="009F5E49">
      <w:pPr>
        <w:spacing w:before="100" w:beforeAutospacing="1" w:after="100" w:afterAutospacing="1"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Propuestas de TAC para 2017</w:t>
      </w:r>
    </w:p>
    <w:p w:rsidR="00BE61FF" w:rsidRPr="00E527F1" w:rsidRDefault="009F5E49" w:rsidP="00E527F1">
      <w:pPr>
        <w:spacing w:before="100" w:beforeAutospacing="1" w:after="100" w:afterAutospacing="1" w:line="280" w:lineRule="auto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sobre la metodología propuesta y relativa a la subregión del GT.</w:t>
      </w:r>
      <w:r w:rsidR="00BE61FF" w:rsidRPr="00E527F1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9E7B35" w:rsidRPr="0019087F" w:rsidRDefault="009E7B35" w:rsidP="009E7B35">
      <w:pPr>
        <w:spacing w:line="276" w:lineRule="auto"/>
        <w:jc w:val="both"/>
        <w:rPr>
          <w:rFonts w:cstheme="minorHAnsi"/>
          <w:u w:val="single"/>
          <w:lang w:val="es-ES"/>
        </w:rPr>
      </w:pPr>
    </w:p>
    <w:p w:rsidR="009E7B35" w:rsidRPr="0019087F" w:rsidRDefault="009F5E49" w:rsidP="009F5E49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Informe sobre la implantación de la obligación de desembarque</w:t>
      </w:r>
    </w:p>
    <w:p w:rsidR="009E7B35" w:rsidRPr="00E527F1" w:rsidRDefault="009F5E49" w:rsidP="00E527F1">
      <w:pPr>
        <w:spacing w:before="100" w:beforeAutospacing="1" w:after="100" w:afterAutospacing="1" w:line="280" w:lineRule="auto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Proporcionar informaciones sobre las modificaciones específicas de las prácticas pesqueras afectadas por la asignación de TAC.</w:t>
      </w:r>
      <w:r w:rsidR="009E7B35" w:rsidRPr="00E527F1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DA647A" w:rsidRDefault="009F5E49" w:rsidP="00E527F1">
      <w:pPr>
        <w:spacing w:before="100" w:beforeAutospacing="1" w:after="100" w:afterAutospacing="1" w:line="280" w:lineRule="auto"/>
        <w:rPr>
          <w:rFonts w:cstheme="minorHAnsi"/>
          <w:i/>
          <w:color w:val="FF0000"/>
          <w:lang w:val="es-ES"/>
        </w:rPr>
      </w:pPr>
      <w:r w:rsidRPr="00E527F1">
        <w:rPr>
          <w:rFonts w:cstheme="minorHAnsi"/>
          <w:i/>
          <w:color w:val="FF0000"/>
          <w:lang w:val="es-ES"/>
        </w:rPr>
        <w:t>NB:</w:t>
      </w:r>
      <w:r w:rsidR="00BE61FF" w:rsidRPr="00E527F1">
        <w:rPr>
          <w:rFonts w:cstheme="minorHAnsi"/>
          <w:i/>
          <w:color w:val="FF0000"/>
          <w:lang w:val="es-ES"/>
        </w:rPr>
        <w:t xml:space="preserve"> </w:t>
      </w:r>
      <w:r w:rsidRPr="00E527F1">
        <w:rPr>
          <w:rFonts w:cstheme="minorHAnsi"/>
          <w:i/>
          <w:color w:val="FF0000"/>
          <w:lang w:val="es-ES"/>
        </w:rPr>
        <w:t xml:space="preserve">Rogamos centren sus observaciones en </w:t>
      </w:r>
      <w:r w:rsidR="001134D7" w:rsidRPr="00E527F1">
        <w:rPr>
          <w:rFonts w:cstheme="minorHAnsi"/>
          <w:i/>
          <w:color w:val="FF0000"/>
          <w:lang w:val="es-ES"/>
        </w:rPr>
        <w:t xml:space="preserve">los </w:t>
      </w:r>
      <w:r w:rsidRPr="00E527F1">
        <w:rPr>
          <w:rFonts w:cstheme="minorHAnsi"/>
          <w:i/>
          <w:color w:val="FF0000"/>
          <w:lang w:val="es-ES"/>
        </w:rPr>
        <w:t>temas propios a la subregión.</w:t>
      </w:r>
      <w:r w:rsidR="009E7B35" w:rsidRPr="00E527F1">
        <w:rPr>
          <w:rFonts w:cstheme="minorHAnsi"/>
          <w:i/>
          <w:color w:val="FF0000"/>
          <w:lang w:val="es-ES"/>
        </w:rPr>
        <w:t xml:space="preserve"> </w:t>
      </w:r>
      <w:r w:rsidR="00BE61FF" w:rsidRPr="00E527F1">
        <w:rPr>
          <w:rFonts w:cstheme="minorHAnsi"/>
          <w:i/>
          <w:color w:val="FF0000"/>
          <w:lang w:val="es-ES"/>
        </w:rPr>
        <w:t xml:space="preserve"> </w:t>
      </w:r>
    </w:p>
    <w:p w:rsidR="00E527F1" w:rsidRPr="00E527F1" w:rsidRDefault="00E527F1" w:rsidP="00E527F1">
      <w:pPr>
        <w:spacing w:line="276" w:lineRule="auto"/>
        <w:jc w:val="both"/>
        <w:rPr>
          <w:lang w:val="es-ES"/>
        </w:rPr>
      </w:pPr>
      <w:proofErr w:type="spellStart"/>
      <w:r w:rsidRPr="00E527F1">
        <w:rPr>
          <w:lang w:val="es-ES"/>
        </w:rPr>
        <w:t>TACs</w:t>
      </w:r>
      <w:proofErr w:type="spellEnd"/>
      <w:r w:rsidRPr="00E527F1">
        <w:rPr>
          <w:lang w:val="es-ES"/>
        </w:rPr>
        <w:t xml:space="preserve"> </w:t>
      </w:r>
      <w:r w:rsidRPr="00E527F1">
        <w:rPr>
          <w:lang w:val="es-ES"/>
        </w:rPr>
        <w:t>e</w:t>
      </w:r>
      <w:r w:rsidRPr="00E527F1">
        <w:rPr>
          <w:lang w:val="es-ES"/>
        </w:rPr>
        <w:t>n VI: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1"/>
        <w:gridCol w:w="4116"/>
      </w:tblGrid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 w:eastAsia="en-IE"/>
              </w:rPr>
              <w:t>Stocks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  <w:t>Zonas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  <w:t>Comentarios</w:t>
            </w: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proofErr w:type="spellStart"/>
            <w:r w:rsidRPr="00E527F1">
              <w:rPr>
                <w:lang w:val="es-ES"/>
              </w:rPr>
              <w:t>Alfonsinos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III, IV, V, VI, VII, VIII, IX, X, XII </w:t>
            </w: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br/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 XIV 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Rapes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VI,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Sable negro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V, VI, VII, XII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Maruca azul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VI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VII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Bacalao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VIa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Bacalao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VIb</w:t>
            </w:r>
            <w:proofErr w:type="spellEnd"/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Tiburones del mar profundo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V, VI, VII, VIII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 IX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Brótola de fango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V, VI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 VII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Pejerrey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V, VI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 VII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Eglefino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VIb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Eglefino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VIa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onsejos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del CIEM 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en otoño</w:t>
            </w: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Merluza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VI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VII, </w:t>
            </w: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Maruca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VI, VII, VIII, IX, X,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Gallo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VI,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Default="00E527F1">
            <w:r w:rsidRPr="00002575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Consejos del CIEM en otoño</w:t>
            </w: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Cigala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VI, </w:t>
            </w: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VIb</w:t>
            </w:r>
            <w:proofErr w:type="spellEnd"/>
          </w:p>
        </w:tc>
        <w:tc>
          <w:tcPr>
            <w:tcW w:w="4116" w:type="dxa"/>
          </w:tcPr>
          <w:p w:rsidR="00E527F1" w:rsidRDefault="00E527F1">
            <w:r w:rsidRPr="00002575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Consejos del CIEM en otoño</w:t>
            </w: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Reloj anaranjado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VI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proofErr w:type="spellStart"/>
            <w:r w:rsidRPr="00E527F1">
              <w:rPr>
                <w:lang w:val="es-ES"/>
              </w:rPr>
              <w:t>Solla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Abadejo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Besugo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VI, VII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 VIII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 xml:space="preserve">Granadero de roca y Granadero </w:t>
            </w:r>
            <w:proofErr w:type="spellStart"/>
            <w:r w:rsidRPr="00E527F1">
              <w:rPr>
                <w:lang w:val="es-ES"/>
              </w:rPr>
              <w:t>berglax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  <w:proofErr w:type="spellStart"/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, VI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 VII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Carbonero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VI, </w:t>
            </w: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Rayas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VIa, </w:t>
            </w: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VIb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VIIa-c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e-k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onsejos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del CIEM 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en otoño</w:t>
            </w: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Lenguado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VI, </w:t>
            </w: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Mielga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I, V, VI, VII, VIII,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onsejos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del CIEM 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en otoño</w:t>
            </w: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Brosmio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V, VI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VII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Merlán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VI, </w:t>
            </w: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</w:tbl>
    <w:p w:rsidR="00E527F1" w:rsidRPr="00E527F1" w:rsidRDefault="00E527F1" w:rsidP="00E527F1">
      <w:pPr>
        <w:spacing w:before="100" w:beforeAutospacing="1" w:after="100" w:afterAutospacing="1" w:line="280" w:lineRule="auto"/>
        <w:rPr>
          <w:rFonts w:cstheme="minorHAnsi"/>
          <w:i/>
          <w:color w:val="FF0000"/>
          <w:lang w:val="es-ES"/>
        </w:rPr>
      </w:pPr>
    </w:p>
    <w:p w:rsidR="00E527F1" w:rsidRDefault="00E527F1" w:rsidP="00E527F1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lang w:val="es-ES"/>
        </w:rPr>
      </w:pPr>
      <w:proofErr w:type="spellStart"/>
      <w:r w:rsidRPr="00E527F1">
        <w:rPr>
          <w:rFonts w:cstheme="minorHAnsi"/>
          <w:b/>
          <w:lang w:val="es-ES"/>
        </w:rPr>
        <w:t>Oeste</w:t>
      </w:r>
      <w:proofErr w:type="spellEnd"/>
      <w:r w:rsidRPr="00E527F1">
        <w:rPr>
          <w:rFonts w:cstheme="minorHAnsi"/>
          <w:b/>
          <w:lang w:val="es-ES"/>
        </w:rPr>
        <w:t xml:space="preserve"> de </w:t>
      </w:r>
      <w:proofErr w:type="spellStart"/>
      <w:r w:rsidRPr="00E527F1">
        <w:rPr>
          <w:rFonts w:cstheme="minorHAnsi"/>
          <w:b/>
          <w:lang w:val="es-ES"/>
        </w:rPr>
        <w:t>Irlanda</w:t>
      </w:r>
      <w:proofErr w:type="spellEnd"/>
      <w:r w:rsidRPr="00E527F1">
        <w:rPr>
          <w:rFonts w:cstheme="minorHAnsi"/>
          <w:b/>
          <w:lang w:val="es-ES"/>
        </w:rPr>
        <w:t xml:space="preserve"> y Mar </w:t>
      </w:r>
      <w:proofErr w:type="spellStart"/>
      <w:r w:rsidRPr="00E527F1">
        <w:rPr>
          <w:rFonts w:cstheme="minorHAnsi"/>
          <w:b/>
          <w:lang w:val="es-ES"/>
        </w:rPr>
        <w:t>Céltico</w:t>
      </w:r>
      <w:proofErr w:type="spellEnd"/>
      <w:r w:rsidRPr="00E527F1">
        <w:rPr>
          <w:rFonts w:cstheme="minorHAnsi"/>
          <w:b/>
          <w:lang w:val="es-ES"/>
        </w:rPr>
        <w:t xml:space="preserve"> - zona CIEM VII (</w:t>
      </w:r>
      <w:proofErr w:type="spellStart"/>
      <w:r w:rsidRPr="00E527F1">
        <w:rPr>
          <w:rFonts w:cstheme="minorHAnsi"/>
          <w:b/>
          <w:lang w:val="es-ES"/>
        </w:rPr>
        <w:t>excepto</w:t>
      </w:r>
      <w:proofErr w:type="spellEnd"/>
      <w:r w:rsidRPr="00E527F1">
        <w:rPr>
          <w:rFonts w:cstheme="minorHAnsi"/>
          <w:b/>
          <w:lang w:val="es-ES"/>
        </w:rPr>
        <w:t xml:space="preserve"> d, e y a)    </w:t>
      </w:r>
    </w:p>
    <w:p w:rsidR="00E527F1" w:rsidRDefault="00E527F1" w:rsidP="00E527F1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lang w:val="es-ES"/>
        </w:rPr>
      </w:pPr>
      <w:r w:rsidRPr="00E527F1">
        <w:rPr>
          <w:rFonts w:cstheme="minorHAnsi"/>
          <w:b/>
          <w:lang w:val="es-ES"/>
        </w:rPr>
        <w:t>[GT 2] </w:t>
      </w:r>
    </w:p>
    <w:p w:rsidR="00E527F1" w:rsidRPr="0019087F" w:rsidRDefault="00E527F1" w:rsidP="00E527F1">
      <w:pPr>
        <w:spacing w:before="100" w:beforeAutospacing="1"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Evolución del estado de los stocks</w:t>
      </w:r>
    </w:p>
    <w:p w:rsidR="00E527F1" w:rsidRPr="0019087F" w:rsidRDefault="003519DC" w:rsidP="00E527F1">
      <w:pPr>
        <w:spacing w:line="280" w:lineRule="auto"/>
        <w:jc w:val="both"/>
        <w:rPr>
          <w:rFonts w:cstheme="minorHAnsi"/>
          <w:lang w:val="es-ES"/>
        </w:rPr>
      </w:pPr>
      <w:r w:rsidRPr="003519DC">
        <w:rPr>
          <w:rFonts w:cstheme="minorHAnsi"/>
          <w:lang w:val="es-ES"/>
        </w:rPr>
        <w:t>Oeste de Irlanda y Mar Céltico</w:t>
      </w:r>
      <w:r w:rsidR="00E527F1" w:rsidRPr="0019087F">
        <w:rPr>
          <w:rFonts w:cstheme="minorHAnsi"/>
          <w:lang w:val="es-ES"/>
        </w:rPr>
        <w:t xml:space="preserve"> </w:t>
      </w:r>
    </w:p>
    <w:p w:rsidR="00E527F1" w:rsidRPr="0019087F" w:rsidRDefault="00E527F1" w:rsidP="00E527F1">
      <w:p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Especies de aguas profundas</w:t>
      </w:r>
    </w:p>
    <w:p w:rsidR="00E527F1" w:rsidRPr="0019087F" w:rsidRDefault="00E527F1" w:rsidP="00E527F1">
      <w:pPr>
        <w:spacing w:line="276" w:lineRule="auto"/>
        <w:jc w:val="both"/>
        <w:rPr>
          <w:rFonts w:cstheme="minorHAnsi"/>
          <w:u w:val="single"/>
          <w:lang w:val="es-ES"/>
        </w:rPr>
      </w:pPr>
    </w:p>
    <w:p w:rsidR="00E527F1" w:rsidRPr="0019087F" w:rsidRDefault="00E527F1" w:rsidP="00E527F1">
      <w:pPr>
        <w:spacing w:before="100" w:beforeAutospacing="1" w:after="100" w:afterAutospacing="1"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Propuestas de TAC para 2017</w:t>
      </w:r>
    </w:p>
    <w:p w:rsidR="00E527F1" w:rsidRPr="00E527F1" w:rsidRDefault="00E527F1" w:rsidP="00E527F1">
      <w:pPr>
        <w:spacing w:before="100" w:beforeAutospacing="1" w:after="100" w:afterAutospacing="1" w:line="280" w:lineRule="auto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 xml:space="preserve">Observaciones sobre la metodología propuesta y relativa a la subregión del GT. </w:t>
      </w:r>
    </w:p>
    <w:p w:rsidR="00E527F1" w:rsidRPr="0019087F" w:rsidRDefault="00E527F1" w:rsidP="00E527F1">
      <w:pPr>
        <w:spacing w:line="276" w:lineRule="auto"/>
        <w:jc w:val="both"/>
        <w:rPr>
          <w:rFonts w:cstheme="minorHAnsi"/>
          <w:u w:val="single"/>
          <w:lang w:val="es-ES"/>
        </w:rPr>
      </w:pPr>
    </w:p>
    <w:p w:rsidR="00E527F1" w:rsidRPr="0019087F" w:rsidRDefault="00E527F1" w:rsidP="00E527F1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Informe sobre la implantación de la obligación de desembarque</w:t>
      </w:r>
    </w:p>
    <w:p w:rsidR="00E527F1" w:rsidRPr="00E527F1" w:rsidRDefault="00E527F1" w:rsidP="00E527F1">
      <w:pPr>
        <w:spacing w:before="100" w:beforeAutospacing="1" w:after="100" w:afterAutospacing="1" w:line="280" w:lineRule="auto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 xml:space="preserve">Proporcionar informaciones sobre las modificaciones específicas de las prácticas pesqueras afectadas por la asignación de TAC. </w:t>
      </w:r>
    </w:p>
    <w:p w:rsidR="00E527F1" w:rsidRDefault="00E527F1" w:rsidP="00E527F1">
      <w:pPr>
        <w:spacing w:before="100" w:beforeAutospacing="1" w:after="100" w:afterAutospacing="1" w:line="280" w:lineRule="auto"/>
        <w:rPr>
          <w:rFonts w:cstheme="minorHAnsi"/>
          <w:i/>
          <w:color w:val="FF0000"/>
          <w:lang w:val="es-ES"/>
        </w:rPr>
      </w:pPr>
      <w:r w:rsidRPr="00E527F1">
        <w:rPr>
          <w:rFonts w:cstheme="minorHAnsi"/>
          <w:i/>
          <w:color w:val="FF0000"/>
          <w:lang w:val="es-ES"/>
        </w:rPr>
        <w:t xml:space="preserve">NB: Rogamos centren sus observaciones en los temas propios a la subregión.  </w:t>
      </w:r>
    </w:p>
    <w:p w:rsidR="00E527F1" w:rsidRPr="00E527F1" w:rsidRDefault="00E527F1" w:rsidP="00E527F1">
      <w:pPr>
        <w:spacing w:line="276" w:lineRule="auto"/>
        <w:jc w:val="both"/>
        <w:rPr>
          <w:lang w:val="es-ES"/>
        </w:rPr>
      </w:pPr>
      <w:proofErr w:type="spellStart"/>
      <w:r w:rsidRPr="00E527F1">
        <w:rPr>
          <w:lang w:val="es-ES"/>
        </w:rPr>
        <w:t>TACs</w:t>
      </w:r>
      <w:proofErr w:type="spellEnd"/>
      <w:r w:rsidRPr="00E527F1">
        <w:rPr>
          <w:lang w:val="es-ES"/>
        </w:rPr>
        <w:t xml:space="preserve"> en </w:t>
      </w:r>
      <w:proofErr w:type="spellStart"/>
      <w:r w:rsidRPr="00EF7ABF">
        <w:t>VIIb</w:t>
      </w:r>
      <w:proofErr w:type="gramStart"/>
      <w:r w:rsidRPr="00EF7ABF">
        <w:t>,c,e</w:t>
      </w:r>
      <w:proofErr w:type="spellEnd"/>
      <w:proofErr w:type="gramEnd"/>
      <w:r w:rsidRPr="00EF7ABF">
        <w:t>-k</w:t>
      </w:r>
      <w:r w:rsidRPr="00E527F1">
        <w:rPr>
          <w:lang w:val="es-ES"/>
        </w:rPr>
        <w:t>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976"/>
        <w:gridCol w:w="4111"/>
      </w:tblGrid>
      <w:tr w:rsidR="00E527F1" w:rsidRPr="00E527F1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 w:eastAsia="en-IE"/>
              </w:rPr>
              <w:t>Stocks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  <w:t>Zonas</w:t>
            </w:r>
          </w:p>
        </w:tc>
        <w:tc>
          <w:tcPr>
            <w:tcW w:w="4111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  <w:t>Comentarios</w:t>
            </w: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r w:rsidRPr="00447131">
              <w:t>Alfonsinos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III, IV, V, VI, VII, VIII, IX, X, XII 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br/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XIV 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r w:rsidRPr="00447131">
              <w:t>Rapes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r w:rsidRPr="00447131">
              <w:t>Sable negro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VI, VII, XII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Maruca</w:t>
            </w:r>
            <w:proofErr w:type="spellEnd"/>
            <w:r w:rsidRPr="00447131">
              <w:t xml:space="preserve"> </w:t>
            </w:r>
            <w:proofErr w:type="spellStart"/>
            <w:r w:rsidRPr="00447131">
              <w:t>azul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VI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Bacalao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VIIb, c, e-k, VIII, IX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Tiburones</w:t>
            </w:r>
            <w:proofErr w:type="spellEnd"/>
            <w:r w:rsidRPr="00447131">
              <w:t xml:space="preserve"> del mar </w:t>
            </w:r>
            <w:proofErr w:type="spellStart"/>
            <w:r w:rsidRPr="00447131">
              <w:t>profundo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VI, VII, VIII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IX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Brótola</w:t>
            </w:r>
            <w:proofErr w:type="spellEnd"/>
            <w:r w:rsidRPr="00447131">
              <w:t xml:space="preserve"> de </w:t>
            </w:r>
            <w:proofErr w:type="spellStart"/>
            <w:r w:rsidRPr="00447131">
              <w:t>fango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Pejerrey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Eglefino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VIIb-k, VIII, IX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Merluza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Maruca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VI, VII, VIII, IX, X,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r w:rsidRPr="00447131">
              <w:t>Gallo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Cigala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E527F1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onsejos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del CIEM 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en otoño</w:t>
            </w: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Reloj</w:t>
            </w:r>
            <w:proofErr w:type="spellEnd"/>
            <w:r w:rsidRPr="00447131">
              <w:t xml:space="preserve"> </w:t>
            </w:r>
            <w:proofErr w:type="spellStart"/>
            <w:r w:rsidRPr="00447131">
              <w:t>anaranjado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Solla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VIIb,c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Solla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VIIf,g</w:t>
            </w:r>
            <w:proofErr w:type="spellEnd"/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Solla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VIIh,j,k</w:t>
            </w:r>
            <w:proofErr w:type="spellEnd"/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Abadejo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Besugo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VI, VII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Granadero</w:t>
            </w:r>
            <w:proofErr w:type="spellEnd"/>
            <w:r w:rsidRPr="00447131">
              <w:t xml:space="preserve"> de </w:t>
            </w:r>
            <w:proofErr w:type="spellStart"/>
            <w:r w:rsidRPr="00447131">
              <w:t>roca</w:t>
            </w:r>
            <w:proofErr w:type="spellEnd"/>
            <w:r w:rsidRPr="00447131">
              <w:t xml:space="preserve"> y </w:t>
            </w:r>
            <w:proofErr w:type="spellStart"/>
            <w:r w:rsidRPr="00447131">
              <w:t>Granadero</w:t>
            </w:r>
            <w:proofErr w:type="spellEnd"/>
            <w:r w:rsidRPr="00447131">
              <w:t xml:space="preserve"> </w:t>
            </w:r>
            <w:proofErr w:type="spellStart"/>
            <w:r w:rsidRPr="00447131">
              <w:t>berglax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, VI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Carbonero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VII, VIII, IX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Rayas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VIa,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VIIa-c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e-k</w:t>
            </w:r>
          </w:p>
        </w:tc>
        <w:tc>
          <w:tcPr>
            <w:tcW w:w="4111" w:type="dxa"/>
          </w:tcPr>
          <w:p w:rsidR="00E527F1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onsejos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del CIEM 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en otoño</w:t>
            </w: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Lenguado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VIIb,c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Lenguado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VIIf,g</w:t>
            </w:r>
            <w:proofErr w:type="spellEnd"/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Lenguado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VIIhjk</w:t>
            </w:r>
            <w:proofErr w:type="spellEnd"/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Mielga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I, V, VI, VII, VIII,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E527F1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onsejos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del CIEM 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en otoño</w:t>
            </w: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Brosmio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V, VI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Default="00E527F1" w:rsidP="00936C68">
            <w:proofErr w:type="spellStart"/>
            <w:r w:rsidRPr="00447131">
              <w:t>Merlán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VIIb-k 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</w:tbl>
    <w:p w:rsidR="00E527F1" w:rsidRPr="00E527F1" w:rsidRDefault="00E527F1" w:rsidP="00E527F1">
      <w:pPr>
        <w:spacing w:before="100" w:beforeAutospacing="1" w:line="280" w:lineRule="auto"/>
        <w:jc w:val="both"/>
        <w:rPr>
          <w:rFonts w:cstheme="minorHAnsi"/>
          <w:b/>
          <w:lang w:val="es-ES"/>
        </w:rPr>
      </w:pPr>
    </w:p>
    <w:p w:rsidR="00E527F1" w:rsidRDefault="00E527F1" w:rsidP="00E527F1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lang w:val="es-ES"/>
        </w:rPr>
      </w:pPr>
      <w:r w:rsidRPr="00E527F1">
        <w:rPr>
          <w:rFonts w:cstheme="minorHAnsi"/>
          <w:b/>
          <w:lang w:val="es-ES"/>
        </w:rPr>
        <w:t xml:space="preserve">Canal de la Mancha - zonas CIEM VIId y VIIe    </w:t>
      </w:r>
    </w:p>
    <w:p w:rsidR="00E527F1" w:rsidRDefault="00E527F1" w:rsidP="00E527F1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lang w:val="es-ES"/>
        </w:rPr>
      </w:pPr>
      <w:r w:rsidRPr="00E527F1">
        <w:rPr>
          <w:rFonts w:cstheme="minorHAnsi"/>
          <w:b/>
          <w:lang w:val="es-ES"/>
        </w:rPr>
        <w:t>[GT 3] </w:t>
      </w:r>
    </w:p>
    <w:p w:rsidR="00E527F1" w:rsidRPr="0019087F" w:rsidRDefault="00E527F1" w:rsidP="00E527F1">
      <w:pPr>
        <w:spacing w:before="100" w:beforeAutospacing="1"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Evolución del estado de los stocks</w:t>
      </w:r>
    </w:p>
    <w:p w:rsidR="003519DC" w:rsidRPr="003519DC" w:rsidRDefault="003519DC" w:rsidP="003519DC">
      <w:pPr>
        <w:spacing w:line="280" w:lineRule="auto"/>
        <w:jc w:val="both"/>
        <w:rPr>
          <w:rFonts w:cstheme="minorHAnsi"/>
          <w:lang w:val="es-ES"/>
        </w:rPr>
      </w:pPr>
      <w:r w:rsidRPr="003519DC">
        <w:rPr>
          <w:rFonts w:cstheme="minorHAnsi"/>
          <w:lang w:val="es-ES"/>
        </w:rPr>
        <w:t xml:space="preserve">Canal de la Mancha </w:t>
      </w:r>
    </w:p>
    <w:p w:rsidR="00E527F1" w:rsidRPr="003519DC" w:rsidRDefault="00E527F1" w:rsidP="003519DC">
      <w:pPr>
        <w:spacing w:line="280" w:lineRule="auto"/>
        <w:jc w:val="both"/>
        <w:rPr>
          <w:rFonts w:cstheme="minorHAnsi"/>
          <w:lang w:val="es-ES"/>
        </w:rPr>
      </w:pPr>
      <w:r w:rsidRPr="003519DC">
        <w:rPr>
          <w:rFonts w:cstheme="minorHAnsi"/>
          <w:lang w:val="es-ES"/>
        </w:rPr>
        <w:t>Especies de aguas profundas</w:t>
      </w:r>
    </w:p>
    <w:p w:rsidR="00E527F1" w:rsidRPr="0019087F" w:rsidRDefault="00E527F1" w:rsidP="00E527F1">
      <w:pPr>
        <w:spacing w:line="276" w:lineRule="auto"/>
        <w:jc w:val="both"/>
        <w:rPr>
          <w:rFonts w:cstheme="minorHAnsi"/>
          <w:u w:val="single"/>
          <w:lang w:val="es-ES"/>
        </w:rPr>
      </w:pPr>
    </w:p>
    <w:p w:rsidR="00E527F1" w:rsidRPr="0019087F" w:rsidRDefault="00E527F1" w:rsidP="00E527F1">
      <w:pPr>
        <w:spacing w:before="100" w:beforeAutospacing="1" w:after="100" w:afterAutospacing="1"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Propuestas de TAC para 2017</w:t>
      </w:r>
    </w:p>
    <w:p w:rsidR="00E527F1" w:rsidRPr="00E527F1" w:rsidRDefault="00E527F1" w:rsidP="00E527F1">
      <w:pPr>
        <w:spacing w:before="100" w:beforeAutospacing="1" w:after="100" w:afterAutospacing="1" w:line="280" w:lineRule="auto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 xml:space="preserve">Observaciones sobre la metodología propuesta y relativa a la subregión del GT. </w:t>
      </w:r>
    </w:p>
    <w:p w:rsidR="00E527F1" w:rsidRPr="0019087F" w:rsidRDefault="00E527F1" w:rsidP="00E527F1">
      <w:pPr>
        <w:spacing w:line="276" w:lineRule="auto"/>
        <w:jc w:val="both"/>
        <w:rPr>
          <w:rFonts w:cstheme="minorHAnsi"/>
          <w:u w:val="single"/>
          <w:lang w:val="es-ES"/>
        </w:rPr>
      </w:pPr>
    </w:p>
    <w:p w:rsidR="00E527F1" w:rsidRPr="0019087F" w:rsidRDefault="00E527F1" w:rsidP="00E527F1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Informe sobre la implantación de la obligación de desembarque</w:t>
      </w:r>
    </w:p>
    <w:p w:rsidR="00E527F1" w:rsidRPr="00E527F1" w:rsidRDefault="00E527F1" w:rsidP="00E527F1">
      <w:pPr>
        <w:spacing w:before="100" w:beforeAutospacing="1" w:after="100" w:afterAutospacing="1" w:line="280" w:lineRule="auto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 xml:space="preserve">Proporcionar informaciones sobre las modificaciones específicas de las prácticas pesqueras afectadas por la asignación de TAC. </w:t>
      </w:r>
    </w:p>
    <w:p w:rsidR="00E527F1" w:rsidRDefault="00E527F1" w:rsidP="00E527F1">
      <w:pPr>
        <w:spacing w:before="100" w:beforeAutospacing="1" w:after="100" w:afterAutospacing="1" w:line="280" w:lineRule="auto"/>
        <w:rPr>
          <w:rFonts w:cstheme="minorHAnsi"/>
          <w:i/>
          <w:color w:val="FF0000"/>
          <w:lang w:val="es-ES"/>
        </w:rPr>
      </w:pPr>
      <w:r w:rsidRPr="00E527F1">
        <w:rPr>
          <w:rFonts w:cstheme="minorHAnsi"/>
          <w:i/>
          <w:color w:val="FF0000"/>
          <w:lang w:val="es-ES"/>
        </w:rPr>
        <w:t xml:space="preserve">NB: Rogamos centren sus observaciones en los temas propios a la subregión.  </w:t>
      </w:r>
    </w:p>
    <w:p w:rsidR="00E527F1" w:rsidRPr="00E527F1" w:rsidRDefault="00E527F1" w:rsidP="00E527F1">
      <w:pPr>
        <w:spacing w:line="276" w:lineRule="auto"/>
        <w:jc w:val="both"/>
        <w:rPr>
          <w:lang w:val="es-ES"/>
        </w:rPr>
      </w:pPr>
      <w:proofErr w:type="spellStart"/>
      <w:r w:rsidRPr="00E527F1">
        <w:rPr>
          <w:lang w:val="es-ES"/>
        </w:rPr>
        <w:t>TACs</w:t>
      </w:r>
      <w:proofErr w:type="spellEnd"/>
      <w:r w:rsidRPr="00E527F1">
        <w:rPr>
          <w:lang w:val="es-ES"/>
        </w:rPr>
        <w:t xml:space="preserve"> en </w:t>
      </w:r>
      <w:r w:rsidR="003519DC">
        <w:t xml:space="preserve">VIId </w:t>
      </w:r>
      <w:r w:rsidR="003519DC">
        <w:t>y</w:t>
      </w:r>
      <w:r w:rsidR="003519DC">
        <w:t xml:space="preserve"> VIIe</w:t>
      </w:r>
      <w:r w:rsidRPr="00E527F1">
        <w:rPr>
          <w:lang w:val="es-ES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  <w:gridCol w:w="4111"/>
      </w:tblGrid>
      <w:tr w:rsidR="00E527F1" w:rsidRPr="00E527F1" w:rsidTr="003519DC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 w:eastAsia="en-IE"/>
              </w:rPr>
              <w:t>Stocks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  <w:t>Zonas</w:t>
            </w:r>
          </w:p>
        </w:tc>
        <w:tc>
          <w:tcPr>
            <w:tcW w:w="4111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  <w:t>Comentarios</w:t>
            </w: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Alfonsinos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III, IV, V, VI, VII, VIII, IX, X, XII 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XIV 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Anglerfish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 xml:space="preserve">Black </w:t>
            </w:r>
            <w:proofErr w:type="spellStart"/>
            <w:r w:rsidRPr="00BA005C">
              <w:t>scabbardfish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VI, VII, XII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Blue ling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VI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Cod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VIId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Deep-sea sharks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VI, VII, VIII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IX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Greater forkbeard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Greater silver smelt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Haddock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VIIb-k, VIII, IX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Hake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XII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Ling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VI, VII, VIII, IX, X, XII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Megrims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Nephrops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onsejos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del CIEM 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en otoño</w:t>
            </w: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 xml:space="preserve">Orange </w:t>
            </w:r>
            <w:proofErr w:type="spellStart"/>
            <w:r w:rsidRPr="00BA005C">
              <w:t>roughy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Plaice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VIId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</w:t>
            </w:r>
            <w:proofErr w:type="spellEnd"/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Pollack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Red seabream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VI, VII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proofErr w:type="spellStart"/>
            <w:r w:rsidRPr="00BA005C">
              <w:t>Roundnose</w:t>
            </w:r>
            <w:proofErr w:type="spellEnd"/>
            <w:r w:rsidRPr="00BA005C">
              <w:t xml:space="preserve"> </w:t>
            </w:r>
            <w:r>
              <w:t>y</w:t>
            </w:r>
            <w:r w:rsidRPr="00BA005C">
              <w:t xml:space="preserve"> </w:t>
            </w:r>
            <w:proofErr w:type="spellStart"/>
            <w:r w:rsidRPr="00BA005C">
              <w:t>roughhead</w:t>
            </w:r>
            <w:proofErr w:type="spellEnd"/>
            <w:r w:rsidRPr="00BA005C">
              <w:t xml:space="preserve"> grenadier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, VI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 xml:space="preserve">Saithe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VII, VIII, IX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 xml:space="preserve">Skates </w:t>
            </w:r>
            <w:r>
              <w:t>y</w:t>
            </w:r>
            <w:r w:rsidRPr="00BA005C">
              <w:t xml:space="preserve"> rays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VIa,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VIIa-c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e-k</w:t>
            </w:r>
          </w:p>
        </w:tc>
        <w:tc>
          <w:tcPr>
            <w:tcW w:w="4111" w:type="dxa"/>
          </w:tcPr>
          <w:p w:rsidR="003519DC" w:rsidRDefault="003519DC">
            <w:r w:rsidRPr="00506373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Consejos del CIEM en otoño</w:t>
            </w: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 xml:space="preserve">Skates </w:t>
            </w:r>
            <w:r>
              <w:t>y</w:t>
            </w:r>
            <w:r w:rsidRPr="00BA005C">
              <w:t xml:space="preserve"> rays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VIId</w:t>
            </w:r>
          </w:p>
        </w:tc>
        <w:tc>
          <w:tcPr>
            <w:tcW w:w="4111" w:type="dxa"/>
          </w:tcPr>
          <w:p w:rsidR="003519DC" w:rsidRDefault="003519DC">
            <w:r w:rsidRPr="00506373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Consejos del CIEM en otoño</w:t>
            </w: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Sole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VIId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Sole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VIIe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Spurdog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I, V, VI, VII, VIII, XII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onsejos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del CIEM 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en otoño</w:t>
            </w: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Tusk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V, VI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</w:tcPr>
          <w:p w:rsidR="003519DC" w:rsidRDefault="003519DC" w:rsidP="005825D4">
            <w:r w:rsidRPr="00BA005C">
              <w:t>Whiting</w:t>
            </w:r>
          </w:p>
        </w:tc>
        <w:tc>
          <w:tcPr>
            <w:tcW w:w="2976" w:type="dxa"/>
            <w:shd w:val="clear" w:color="auto" w:fill="auto"/>
            <w:noWrap/>
          </w:tcPr>
          <w:p w:rsidR="003519DC" w:rsidRPr="00137F57" w:rsidRDefault="003519DC" w:rsidP="00F656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VIIb-k 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</w:tbl>
    <w:p w:rsidR="00E527F1" w:rsidRPr="00E527F1" w:rsidRDefault="00E527F1" w:rsidP="00E527F1">
      <w:pPr>
        <w:spacing w:before="100" w:beforeAutospacing="1" w:line="280" w:lineRule="auto"/>
        <w:jc w:val="both"/>
        <w:rPr>
          <w:rFonts w:cstheme="minorHAnsi"/>
          <w:b/>
          <w:lang w:val="es-ES"/>
        </w:rPr>
      </w:pPr>
    </w:p>
    <w:p w:rsidR="00E527F1" w:rsidRDefault="00E527F1" w:rsidP="00E527F1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lang w:val="es-ES"/>
        </w:rPr>
      </w:pPr>
      <w:r w:rsidRPr="00E527F1">
        <w:rPr>
          <w:rFonts w:cstheme="minorHAnsi"/>
          <w:b/>
          <w:lang w:val="es-ES"/>
        </w:rPr>
        <w:t xml:space="preserve">Mar de </w:t>
      </w:r>
      <w:proofErr w:type="spellStart"/>
      <w:r w:rsidRPr="00E527F1">
        <w:rPr>
          <w:rFonts w:cstheme="minorHAnsi"/>
          <w:b/>
          <w:lang w:val="es-ES"/>
        </w:rPr>
        <w:t>Irlanda</w:t>
      </w:r>
      <w:proofErr w:type="spellEnd"/>
      <w:r w:rsidRPr="00E527F1">
        <w:rPr>
          <w:rFonts w:cstheme="minorHAnsi"/>
          <w:b/>
          <w:lang w:val="es-ES"/>
        </w:rPr>
        <w:t xml:space="preserve"> - zona CIEM VIIa    </w:t>
      </w:r>
    </w:p>
    <w:p w:rsidR="00E527F1" w:rsidRPr="00E527F1" w:rsidRDefault="00E527F1" w:rsidP="00E527F1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lang w:val="es-ES"/>
        </w:rPr>
      </w:pPr>
      <w:r w:rsidRPr="00E527F1">
        <w:rPr>
          <w:rFonts w:cstheme="minorHAnsi"/>
          <w:b/>
          <w:lang w:val="es-ES"/>
        </w:rPr>
        <w:t>[GT 4]</w:t>
      </w:r>
    </w:p>
    <w:p w:rsidR="00E527F1" w:rsidRPr="00E527F1" w:rsidRDefault="00E527F1" w:rsidP="00E527F1">
      <w:pPr>
        <w:spacing w:before="100" w:beforeAutospacing="1" w:after="100" w:afterAutospacing="1" w:line="280" w:lineRule="auto"/>
        <w:rPr>
          <w:rFonts w:cstheme="minorHAnsi"/>
          <w:i/>
          <w:color w:val="FF0000"/>
          <w:lang w:val="es-ES"/>
        </w:rPr>
      </w:pPr>
    </w:p>
    <w:p w:rsidR="00CA3DAA" w:rsidRPr="0019087F" w:rsidRDefault="009F5E49" w:rsidP="009F5E49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Stocks contemplados en el dictamen científico de otoño</w:t>
      </w:r>
    </w:p>
    <w:p w:rsidR="00A87BD8" w:rsidRDefault="009F5E49" w:rsidP="009F5E49">
      <w:pPr>
        <w:spacing w:before="100" w:beforeAutospacing="1" w:after="100" w:afterAutospacing="1"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El CC-ANOC ampliará, cuando proceda, sus observaciones sobre los stocks para los que se contempla la emisión del dictamen del CIEM más all</w:t>
      </w:r>
      <w:r w:rsidR="003519DC">
        <w:rPr>
          <w:rFonts w:cstheme="minorHAnsi"/>
          <w:lang w:val="es-ES"/>
        </w:rPr>
        <w:t>á de finales de octubre de 2016:</w:t>
      </w:r>
    </w:p>
    <w:tbl>
      <w:tblPr>
        <w:tblW w:w="9203" w:type="dxa"/>
        <w:jc w:val="center"/>
        <w:tblInd w:w="-176" w:type="dxa"/>
        <w:tblLook w:val="04A0" w:firstRow="1" w:lastRow="0" w:firstColumn="1" w:lastColumn="0" w:noHBand="0" w:noVBand="1"/>
      </w:tblPr>
      <w:tblGrid>
        <w:gridCol w:w="1300"/>
        <w:gridCol w:w="7903"/>
      </w:tblGrid>
      <w:tr w:rsidR="003519DC" w:rsidRPr="00D360A8" w:rsidTr="003519DC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DC" w:rsidRPr="003176A8" w:rsidRDefault="003519DC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Eglefino</w:t>
            </w:r>
            <w:proofErr w:type="spellEnd"/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Haddock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Melanogrammus</w:t>
            </w:r>
            <w:proofErr w:type="spellEnd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aeglefinus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Subarea 4 and Divisions 6.a and 3.a West (North Sea, West of Scotland, Skagerrak)</w:t>
            </w:r>
          </w:p>
        </w:tc>
      </w:tr>
      <w:tr w:rsidR="003519DC" w:rsidRPr="00D360A8" w:rsidTr="003519DC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DC" w:rsidRPr="003176A8" w:rsidRDefault="003519DC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Rapes</w:t>
            </w:r>
          </w:p>
          <w:p w:rsidR="003519DC" w:rsidRPr="003176A8" w:rsidRDefault="003519DC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Anglerfish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Lophius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piscatorius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and 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L.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budegassa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Subareas IV, </w:t>
            </w:r>
            <w:r w:rsidRPr="00D360A8">
              <w:rPr>
                <w:rFonts w:eastAsia="Times New Roman" w:cs="Times New Roman"/>
                <w:b/>
                <w:color w:val="000000"/>
                <w:sz w:val="22"/>
                <w:szCs w:val="22"/>
                <w:lang w:val="en-IE" w:eastAsia="en-IE"/>
              </w:rPr>
              <w:t>VI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and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IIIa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(North Sea, Rockall and West of Scotland, Skagerrak and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Kattegatt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)</w:t>
            </w:r>
          </w:p>
        </w:tc>
      </w:tr>
      <w:tr w:rsidR="003519DC" w:rsidRPr="00D360A8" w:rsidTr="003519DC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DC" w:rsidRPr="003176A8" w:rsidRDefault="003519DC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Gallo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Megrim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Lepidorhombus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spp.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VIb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(Rockall)</w:t>
            </w:r>
          </w:p>
        </w:tc>
      </w:tr>
      <w:tr w:rsidR="003519DC" w:rsidRPr="00D360A8" w:rsidTr="003519DC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DC" w:rsidRPr="003176A8" w:rsidRDefault="003519DC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11 (West of Scotland, North Minch)</w:t>
            </w:r>
          </w:p>
        </w:tc>
      </w:tr>
      <w:tr w:rsidR="003519DC" w:rsidRPr="00D360A8" w:rsidTr="003519DC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DC" w:rsidRDefault="003519DC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12 (West of Scotland, South Minch)</w:t>
            </w:r>
          </w:p>
        </w:tc>
      </w:tr>
      <w:tr w:rsidR="003519DC" w:rsidRPr="00D360A8" w:rsidTr="003519DC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DC" w:rsidRDefault="003519DC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jc w:val="center"/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13 (West of Scotland, the Firth of Clyde and Sound of Jura)</w:t>
            </w:r>
          </w:p>
        </w:tc>
      </w:tr>
      <w:tr w:rsidR="003519DC" w:rsidRPr="00D360A8" w:rsidTr="003519DC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DC" w:rsidRDefault="003519DC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14 (Irish Sea, East)</w:t>
            </w:r>
          </w:p>
        </w:tc>
      </w:tr>
      <w:tr w:rsidR="003519DC" w:rsidRPr="00D360A8" w:rsidTr="003519DC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DC" w:rsidRDefault="003519DC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15 (Irish Sea, West)</w:t>
            </w:r>
          </w:p>
        </w:tc>
      </w:tr>
      <w:tr w:rsidR="003519DC" w:rsidRPr="00D360A8" w:rsidTr="003519DC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DC" w:rsidRDefault="003519DC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VIIb,VIIc,VIIj,VIIk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16 (West and Southwest of Ireland, Porcupine Bank )</w:t>
            </w:r>
          </w:p>
        </w:tc>
      </w:tr>
      <w:tr w:rsidR="003519DC" w:rsidRPr="00D360A8" w:rsidTr="003519DC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DC" w:rsidRDefault="003519DC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VIIb, FU 17 (West of Ireland, Aran Grounds)</w:t>
            </w:r>
          </w:p>
        </w:tc>
      </w:tr>
      <w:tr w:rsidR="003519DC" w:rsidRPr="00D360A8" w:rsidTr="003519DC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DC" w:rsidRDefault="003519DC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VIIa,VIIg,VIIj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19 (Irish Sea, Celtic Sea, Eastern Southwest of Ireland)</w:t>
            </w:r>
          </w:p>
        </w:tc>
      </w:tr>
      <w:tr w:rsidR="003519DC" w:rsidRPr="00D360A8" w:rsidTr="003519DC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DC" w:rsidRDefault="003519DC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VIIg,VIIh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, FU 20 and FU 21 (Celtic Sea)</w:t>
            </w:r>
          </w:p>
        </w:tc>
      </w:tr>
      <w:tr w:rsidR="003519DC" w:rsidRPr="00D360A8" w:rsidTr="003519DC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DC" w:rsidRDefault="003519DC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VIIg,VIIf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22 (Celtic Sea, Bristol Channel)</w:t>
            </w:r>
          </w:p>
        </w:tc>
      </w:tr>
      <w:tr w:rsidR="003519DC" w:rsidRPr="00D360A8" w:rsidTr="003519DC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DC" w:rsidRDefault="003519DC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VIa, outside the Functional Units (West of Scotland)</w:t>
            </w:r>
          </w:p>
        </w:tc>
      </w:tr>
      <w:tr w:rsidR="003519DC" w:rsidRPr="00D360A8" w:rsidTr="003519DC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DC" w:rsidRDefault="003519DC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Subarea VII, outside the Functional Units (Southern Celtic Seas, Southwest of Ireland)</w:t>
            </w:r>
          </w:p>
        </w:tc>
      </w:tr>
    </w:tbl>
    <w:p w:rsidR="003519DC" w:rsidRPr="0019087F" w:rsidRDefault="003519DC" w:rsidP="009F5E49">
      <w:pPr>
        <w:spacing w:before="100" w:beforeAutospacing="1" w:after="100" w:afterAutospacing="1" w:line="280" w:lineRule="auto"/>
        <w:jc w:val="both"/>
        <w:rPr>
          <w:rFonts w:cstheme="minorHAnsi"/>
          <w:lang w:val="es-ES"/>
        </w:rPr>
      </w:pPr>
    </w:p>
    <w:p w:rsidR="00F461E9" w:rsidRPr="0019087F" w:rsidRDefault="009F5E49" w:rsidP="009F5E49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Rayas</w:t>
      </w:r>
    </w:p>
    <w:p w:rsidR="00F461E9" w:rsidRPr="0019087F" w:rsidRDefault="009F5E49" w:rsidP="009F5E49">
      <w:pPr>
        <w:pStyle w:val="ListParagraph"/>
        <w:spacing w:before="100" w:beforeAutospacing="1" w:line="280" w:lineRule="auto"/>
        <w:ind w:left="0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Grupo de debate sobre las rayas</w:t>
      </w:r>
    </w:p>
    <w:p w:rsidR="00F461E9" w:rsidRPr="0019087F" w:rsidRDefault="00F461E9" w:rsidP="00F461E9">
      <w:pPr>
        <w:pStyle w:val="ListParagraph"/>
        <w:spacing w:before="100" w:beforeAutospacing="1" w:line="276" w:lineRule="auto"/>
        <w:ind w:left="0"/>
        <w:jc w:val="both"/>
        <w:rPr>
          <w:rFonts w:cstheme="minorHAnsi"/>
          <w:lang w:val="es-ES"/>
        </w:rPr>
      </w:pPr>
    </w:p>
    <w:p w:rsidR="00A87BD8" w:rsidRPr="0019087F" w:rsidRDefault="009F5E49" w:rsidP="009F5E49">
      <w:pPr>
        <w:spacing w:before="100" w:beforeAutospacing="1"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Evolución del estado de los stocks</w:t>
      </w:r>
    </w:p>
    <w:p w:rsidR="00A87BD8" w:rsidRPr="0019087F" w:rsidRDefault="009F5E49" w:rsidP="00A87BD8">
      <w:pPr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 xml:space="preserve">Oeste de </w:t>
      </w:r>
      <w:r w:rsidR="0019087F" w:rsidRPr="0019087F">
        <w:rPr>
          <w:rFonts w:cstheme="minorHAnsi"/>
          <w:lang w:val="es-ES"/>
        </w:rPr>
        <w:t>Escocia,</w:t>
      </w:r>
      <w:r w:rsidR="00A87BD8" w:rsidRPr="0019087F">
        <w:rPr>
          <w:rFonts w:cstheme="minorHAnsi"/>
          <w:lang w:val="es-ES"/>
        </w:rPr>
        <w:t xml:space="preserve"> </w:t>
      </w:r>
      <w:r w:rsidRPr="0019087F">
        <w:rPr>
          <w:rFonts w:cstheme="minorHAnsi"/>
          <w:lang w:val="es-ES"/>
        </w:rPr>
        <w:t xml:space="preserve">mar de </w:t>
      </w:r>
      <w:r w:rsidR="001134D7" w:rsidRPr="0019087F">
        <w:rPr>
          <w:rFonts w:cstheme="minorHAnsi"/>
          <w:lang w:val="es-ES"/>
        </w:rPr>
        <w:t>Irlanda y m</w:t>
      </w:r>
      <w:r w:rsidRPr="0019087F">
        <w:rPr>
          <w:rFonts w:cstheme="minorHAnsi"/>
          <w:lang w:val="es-ES"/>
        </w:rPr>
        <w:t>ar Céltico,</w:t>
      </w:r>
      <w:r w:rsidR="00A87BD8" w:rsidRPr="0019087F">
        <w:rPr>
          <w:rFonts w:cstheme="minorHAnsi"/>
          <w:lang w:val="es-ES"/>
        </w:rPr>
        <w:t xml:space="preserve"> </w:t>
      </w:r>
      <w:r w:rsidRPr="0019087F">
        <w:rPr>
          <w:rFonts w:cstheme="minorHAnsi"/>
          <w:lang w:val="es-ES"/>
        </w:rPr>
        <w:t>Canal.</w:t>
      </w:r>
    </w:p>
    <w:p w:rsidR="00F461E9" w:rsidRPr="0019087F" w:rsidRDefault="00F461E9" w:rsidP="00F461E9">
      <w:pPr>
        <w:spacing w:line="276" w:lineRule="auto"/>
        <w:jc w:val="both"/>
        <w:rPr>
          <w:rFonts w:cstheme="minorHAnsi"/>
          <w:u w:val="single"/>
          <w:lang w:val="es-ES"/>
        </w:rPr>
      </w:pPr>
    </w:p>
    <w:p w:rsidR="00A87BD8" w:rsidRPr="0019087F" w:rsidRDefault="009F5E49" w:rsidP="009F5E49">
      <w:pPr>
        <w:spacing w:before="100" w:beforeAutospacing="1" w:after="100" w:afterAutospacing="1"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Propuestas de TAC para 2017</w:t>
      </w:r>
    </w:p>
    <w:p w:rsidR="00A87BD8" w:rsidRPr="003519DC" w:rsidRDefault="009F5E49" w:rsidP="009F5E49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3519DC">
        <w:rPr>
          <w:rFonts w:cstheme="minorHAnsi"/>
          <w:i/>
          <w:color w:val="808080" w:themeColor="background1" w:themeShade="80"/>
          <w:lang w:val="es-ES"/>
        </w:rPr>
        <w:t>Observaciones sobre la metodología propuesta y relativa a la subregión del GT.</w:t>
      </w:r>
      <w:r w:rsidR="00A87BD8" w:rsidRPr="003519DC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A87BD8" w:rsidRPr="0019087F" w:rsidRDefault="00A87BD8" w:rsidP="00A87BD8">
      <w:pPr>
        <w:spacing w:line="276" w:lineRule="auto"/>
        <w:jc w:val="both"/>
        <w:rPr>
          <w:rFonts w:cstheme="minorHAnsi"/>
          <w:u w:val="single"/>
          <w:lang w:val="es-ES"/>
        </w:rPr>
      </w:pPr>
    </w:p>
    <w:p w:rsidR="00A87BD8" w:rsidRPr="0019087F" w:rsidRDefault="009F5E49" w:rsidP="009F5E49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Informe sobre la implantación de la obligación de desembarque</w:t>
      </w:r>
    </w:p>
    <w:p w:rsidR="00A87BD8" w:rsidRPr="003519DC" w:rsidRDefault="009F5E49" w:rsidP="009F5E49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3519DC">
        <w:rPr>
          <w:rFonts w:cstheme="minorHAnsi"/>
          <w:i/>
          <w:color w:val="808080" w:themeColor="background1" w:themeShade="80"/>
          <w:lang w:val="es-ES"/>
        </w:rPr>
        <w:lastRenderedPageBreak/>
        <w:t>Proporcionar informaciones sobre las modificaciones específicas de las prácticas pesqueras afectadas por la asignación de TAC.</w:t>
      </w:r>
      <w:r w:rsidR="00A87BD8" w:rsidRPr="003519DC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A87BD8" w:rsidRPr="003519DC" w:rsidRDefault="009F5E49" w:rsidP="009F5E49">
      <w:pPr>
        <w:spacing w:before="100" w:beforeAutospacing="1" w:after="100" w:afterAutospacing="1" w:line="280" w:lineRule="auto"/>
        <w:jc w:val="both"/>
        <w:rPr>
          <w:rFonts w:cstheme="minorHAnsi"/>
          <w:i/>
          <w:color w:val="FF0000"/>
          <w:lang w:val="es-ES"/>
        </w:rPr>
      </w:pPr>
      <w:r w:rsidRPr="003519DC">
        <w:rPr>
          <w:rFonts w:cstheme="minorHAnsi"/>
          <w:i/>
          <w:color w:val="FF0000"/>
          <w:lang w:val="es-ES"/>
        </w:rPr>
        <w:t>NB:</w:t>
      </w:r>
      <w:r w:rsidR="00A87BD8" w:rsidRPr="003519DC">
        <w:rPr>
          <w:rFonts w:cstheme="minorHAnsi"/>
          <w:i/>
          <w:color w:val="FF0000"/>
          <w:lang w:val="es-ES"/>
        </w:rPr>
        <w:t xml:space="preserve"> </w:t>
      </w:r>
      <w:r w:rsidRPr="003519DC">
        <w:rPr>
          <w:rFonts w:cstheme="minorHAnsi"/>
          <w:i/>
          <w:color w:val="FF0000"/>
          <w:lang w:val="es-ES"/>
        </w:rPr>
        <w:t>Rogamos centren sus observaciones a temas propios a las rayas y que no hayan sido tratados por el GT.</w:t>
      </w:r>
      <w:r w:rsidR="00A87BD8" w:rsidRPr="003519DC">
        <w:rPr>
          <w:rFonts w:cstheme="minorHAnsi"/>
          <w:i/>
          <w:color w:val="FF0000"/>
          <w:lang w:val="es-ES"/>
        </w:rPr>
        <w:t xml:space="preserve">  </w:t>
      </w:r>
    </w:p>
    <w:p w:rsidR="00F461E9" w:rsidRPr="0019087F" w:rsidRDefault="009F5E49" w:rsidP="009F5E49">
      <w:pPr>
        <w:pStyle w:val="ListParagraph"/>
        <w:spacing w:before="100" w:beforeAutospacing="1" w:line="280" w:lineRule="auto"/>
        <w:ind w:left="0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Los TAC de rayas afectados: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  <w:gridCol w:w="3969"/>
      </w:tblGrid>
      <w:tr w:rsidR="00F461E9" w:rsidRPr="0019087F" w:rsidTr="009F5E49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F461E9" w:rsidRPr="0019087F" w:rsidRDefault="009F5E49" w:rsidP="0019087F">
            <w:pPr>
              <w:rPr>
                <w:rFonts w:eastAsia="Times New Roman" w:cstheme="minorHAnsi"/>
                <w:b/>
                <w:bCs/>
                <w:color w:val="000000"/>
                <w:lang w:val="es-ES" w:eastAsia="en-IE"/>
              </w:rPr>
            </w:pPr>
            <w:r w:rsidRPr="0019087F">
              <w:rPr>
                <w:rFonts w:eastAsia="Times New Roman" w:cstheme="minorHAnsi"/>
                <w:b/>
                <w:bCs/>
                <w:lang w:val="es-ES" w:eastAsia="en-IE"/>
              </w:rPr>
              <w:t>Stocks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F461E9" w:rsidRPr="0019087F" w:rsidRDefault="009F5E49" w:rsidP="0019087F">
            <w:pPr>
              <w:rPr>
                <w:rFonts w:eastAsia="Times New Roman" w:cstheme="minorHAnsi"/>
                <w:b/>
                <w:bCs/>
                <w:lang w:val="es-ES" w:eastAsia="en-IE"/>
              </w:rPr>
            </w:pPr>
            <w:r w:rsidRPr="0019087F">
              <w:rPr>
                <w:rFonts w:eastAsia="Times New Roman" w:cstheme="minorHAnsi"/>
                <w:b/>
                <w:bCs/>
                <w:lang w:val="es-ES" w:eastAsia="en-IE"/>
              </w:rPr>
              <w:t>Zonas</w:t>
            </w:r>
          </w:p>
        </w:tc>
        <w:tc>
          <w:tcPr>
            <w:tcW w:w="3969" w:type="dxa"/>
          </w:tcPr>
          <w:p w:rsidR="00F461E9" w:rsidRPr="0019087F" w:rsidRDefault="009F5E49" w:rsidP="0019087F">
            <w:pPr>
              <w:rPr>
                <w:rFonts w:eastAsia="Times New Roman" w:cstheme="minorHAnsi"/>
                <w:b/>
                <w:bCs/>
                <w:lang w:val="es-ES" w:eastAsia="en-IE"/>
              </w:rPr>
            </w:pPr>
            <w:r w:rsidRPr="0019087F">
              <w:rPr>
                <w:rFonts w:eastAsia="Times New Roman" w:cstheme="minorHAnsi"/>
                <w:b/>
                <w:bCs/>
                <w:lang w:val="es-ES" w:eastAsia="en-IE"/>
              </w:rPr>
              <w:t>¿Observaciones específica</w:t>
            </w:r>
            <w:r w:rsidR="001134D7" w:rsidRPr="0019087F">
              <w:rPr>
                <w:rFonts w:eastAsia="Times New Roman" w:cstheme="minorHAnsi"/>
                <w:b/>
                <w:bCs/>
                <w:lang w:val="es-ES" w:eastAsia="en-IE"/>
              </w:rPr>
              <w:t>s</w:t>
            </w:r>
            <w:r w:rsidRPr="0019087F">
              <w:rPr>
                <w:rFonts w:eastAsia="Times New Roman" w:cstheme="minorHAnsi"/>
                <w:b/>
                <w:bCs/>
                <w:lang w:val="es-ES" w:eastAsia="en-IE"/>
              </w:rPr>
              <w:t>?</w:t>
            </w:r>
          </w:p>
        </w:tc>
      </w:tr>
      <w:tr w:rsidR="00F461E9" w:rsidRPr="0019087F" w:rsidTr="009F5E49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F461E9" w:rsidRPr="0019087F" w:rsidRDefault="009F5E49" w:rsidP="0019087F">
            <w:pPr>
              <w:rPr>
                <w:rFonts w:eastAsia="Times New Roman" w:cstheme="minorHAnsi"/>
                <w:color w:val="000000"/>
                <w:lang w:val="es-ES" w:eastAsia="en-IE"/>
              </w:rPr>
            </w:pPr>
            <w:r w:rsidRPr="0019087F">
              <w:rPr>
                <w:rFonts w:eastAsia="Times New Roman" w:cstheme="minorHAnsi"/>
                <w:lang w:val="es-ES" w:eastAsia="en-IE"/>
              </w:rPr>
              <w:t>Tiburones de aguas profundas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F461E9" w:rsidRPr="0019087F" w:rsidRDefault="009F5E49" w:rsidP="0019087F">
            <w:pPr>
              <w:rPr>
                <w:rFonts w:eastAsia="Times New Roman" w:cstheme="minorHAnsi"/>
                <w:color w:val="000000"/>
                <w:lang w:val="es-ES" w:eastAsia="en-IE"/>
              </w:rPr>
            </w:pPr>
            <w:r w:rsidRPr="0019087F">
              <w:rPr>
                <w:rFonts w:eastAsia="Times New Roman" w:cstheme="minorHAnsi"/>
                <w:lang w:val="es-ES" w:eastAsia="en-IE"/>
              </w:rPr>
              <w:t>VI, VII, VIII y IX</w:t>
            </w:r>
          </w:p>
        </w:tc>
        <w:tc>
          <w:tcPr>
            <w:tcW w:w="3969" w:type="dxa"/>
          </w:tcPr>
          <w:p w:rsidR="00F461E9" w:rsidRPr="0019087F" w:rsidRDefault="00F461E9" w:rsidP="00A05328">
            <w:pPr>
              <w:rPr>
                <w:rFonts w:eastAsia="Times New Roman" w:cstheme="minorHAnsi"/>
                <w:lang w:val="es-ES" w:eastAsia="en-IE"/>
              </w:rPr>
            </w:pPr>
          </w:p>
        </w:tc>
      </w:tr>
      <w:tr w:rsidR="00F461E9" w:rsidRPr="0019087F" w:rsidTr="009F5E49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F461E9" w:rsidRPr="0019087F" w:rsidRDefault="009F5E49" w:rsidP="0019087F">
            <w:pPr>
              <w:rPr>
                <w:rFonts w:eastAsia="Times New Roman" w:cstheme="minorHAnsi"/>
                <w:color w:val="000000"/>
                <w:lang w:val="es-ES" w:eastAsia="en-IE"/>
              </w:rPr>
            </w:pPr>
            <w:r w:rsidRPr="0019087F">
              <w:rPr>
                <w:rFonts w:eastAsia="Times New Roman" w:cstheme="minorHAnsi"/>
                <w:lang w:val="es-ES" w:eastAsia="en-IE"/>
              </w:rPr>
              <w:t>Rayas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F461E9" w:rsidRPr="0019087F" w:rsidRDefault="009F5E49" w:rsidP="0019087F">
            <w:pPr>
              <w:rPr>
                <w:rFonts w:eastAsia="Times New Roman" w:cstheme="minorHAnsi"/>
                <w:lang w:val="es-ES" w:eastAsia="en-IE"/>
              </w:rPr>
            </w:pPr>
            <w:r w:rsidRPr="0019087F">
              <w:rPr>
                <w:rFonts w:eastAsia="Times New Roman" w:cstheme="minorHAnsi"/>
                <w:lang w:val="es-ES" w:eastAsia="en-IE"/>
              </w:rPr>
              <w:t>VIa, VIb, VIIa-c y e-k</w:t>
            </w:r>
          </w:p>
        </w:tc>
        <w:tc>
          <w:tcPr>
            <w:tcW w:w="3969" w:type="dxa"/>
          </w:tcPr>
          <w:p w:rsidR="00F461E9" w:rsidRPr="0019087F" w:rsidRDefault="00F461E9" w:rsidP="00A05328">
            <w:pPr>
              <w:rPr>
                <w:rFonts w:eastAsia="Times New Roman" w:cstheme="minorHAnsi"/>
                <w:color w:val="000000"/>
                <w:lang w:val="es-ES" w:eastAsia="en-IE"/>
              </w:rPr>
            </w:pPr>
          </w:p>
        </w:tc>
      </w:tr>
      <w:tr w:rsidR="00F461E9" w:rsidRPr="0019087F" w:rsidTr="009F5E49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F461E9" w:rsidRPr="0019087F" w:rsidRDefault="009F5E49" w:rsidP="0019087F">
            <w:pPr>
              <w:rPr>
                <w:rFonts w:eastAsia="Times New Roman" w:cstheme="minorHAnsi"/>
                <w:color w:val="000000"/>
                <w:lang w:val="es-ES" w:eastAsia="en-IE"/>
              </w:rPr>
            </w:pPr>
            <w:r w:rsidRPr="0019087F">
              <w:rPr>
                <w:rFonts w:eastAsia="Times New Roman" w:cstheme="minorHAnsi"/>
                <w:lang w:val="es-ES" w:eastAsia="en-IE"/>
              </w:rPr>
              <w:t>Rayas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F461E9" w:rsidRPr="0019087F" w:rsidRDefault="009F5E49" w:rsidP="0019087F">
            <w:pPr>
              <w:rPr>
                <w:rFonts w:eastAsia="Times New Roman" w:cstheme="minorHAnsi"/>
                <w:lang w:val="es-ES" w:eastAsia="en-IE"/>
              </w:rPr>
            </w:pPr>
            <w:r w:rsidRPr="0019087F">
              <w:rPr>
                <w:rFonts w:eastAsia="Times New Roman" w:cstheme="minorHAnsi"/>
                <w:lang w:val="es-ES" w:eastAsia="en-IE"/>
              </w:rPr>
              <w:t>VIId</w:t>
            </w:r>
          </w:p>
        </w:tc>
        <w:tc>
          <w:tcPr>
            <w:tcW w:w="3969" w:type="dxa"/>
          </w:tcPr>
          <w:p w:rsidR="00F461E9" w:rsidRPr="0019087F" w:rsidRDefault="00F461E9" w:rsidP="00A05328">
            <w:pPr>
              <w:rPr>
                <w:rFonts w:eastAsia="Times New Roman" w:cstheme="minorHAnsi"/>
                <w:lang w:val="es-ES" w:eastAsia="en-IE"/>
              </w:rPr>
            </w:pPr>
          </w:p>
        </w:tc>
      </w:tr>
      <w:tr w:rsidR="00F461E9" w:rsidRPr="0019087F" w:rsidTr="009F5E49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F461E9" w:rsidRPr="0019087F" w:rsidRDefault="009F5E49" w:rsidP="0019087F">
            <w:pPr>
              <w:rPr>
                <w:rFonts w:eastAsia="Times New Roman" w:cstheme="minorHAnsi"/>
                <w:color w:val="000000"/>
                <w:lang w:val="es-ES" w:eastAsia="en-IE"/>
              </w:rPr>
            </w:pPr>
            <w:r w:rsidRPr="0019087F">
              <w:rPr>
                <w:rFonts w:eastAsia="Times New Roman" w:cstheme="minorHAnsi"/>
                <w:lang w:val="es-ES" w:eastAsia="en-IE"/>
              </w:rPr>
              <w:t>Galludo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F461E9" w:rsidRPr="0019087F" w:rsidRDefault="009F5E49" w:rsidP="0019087F">
            <w:pPr>
              <w:rPr>
                <w:rFonts w:eastAsia="Times New Roman" w:cstheme="minorHAnsi"/>
                <w:lang w:val="es-ES" w:eastAsia="en-IE"/>
              </w:rPr>
            </w:pPr>
            <w:r w:rsidRPr="0019087F">
              <w:rPr>
                <w:rFonts w:eastAsia="Times New Roman" w:cstheme="minorHAnsi"/>
                <w:lang w:val="es-ES" w:eastAsia="en-IE"/>
              </w:rPr>
              <w:t>I,V, VI, VII, VIII, XII y XIV</w:t>
            </w:r>
          </w:p>
        </w:tc>
        <w:tc>
          <w:tcPr>
            <w:tcW w:w="3969" w:type="dxa"/>
          </w:tcPr>
          <w:p w:rsidR="00F461E9" w:rsidRPr="0019087F" w:rsidRDefault="00F461E9" w:rsidP="00A05328">
            <w:pPr>
              <w:rPr>
                <w:rFonts w:eastAsia="Times New Roman" w:cstheme="minorHAnsi"/>
                <w:lang w:val="es-ES" w:eastAsia="en-IE"/>
              </w:rPr>
            </w:pPr>
          </w:p>
        </w:tc>
      </w:tr>
    </w:tbl>
    <w:p w:rsidR="00F739C0" w:rsidRPr="0019087F" w:rsidRDefault="00F739C0">
      <w:pPr>
        <w:rPr>
          <w:rFonts w:cstheme="minorHAnsi"/>
          <w:lang w:val="es-ES"/>
        </w:rPr>
      </w:pPr>
    </w:p>
    <w:p w:rsidR="003519DC" w:rsidRDefault="003519DC" w:rsidP="003519DC">
      <w:r>
        <w:t xml:space="preserve">Stocks </w:t>
      </w:r>
      <w:proofErr w:type="gramStart"/>
      <w:r>
        <w:t>del</w:t>
      </w:r>
      <w:proofErr w:type="gramEnd"/>
      <w:r>
        <w:t xml:space="preserve"> CIEM </w:t>
      </w:r>
      <w:proofErr w:type="spellStart"/>
      <w:r w:rsidRPr="003519DC">
        <w:t>pertinentes</w:t>
      </w:r>
      <w:proofErr w:type="spellEnd"/>
      <w:r w:rsidRPr="003519DC">
        <w:t xml:space="preserve"> para </w:t>
      </w:r>
      <w:proofErr w:type="spellStart"/>
      <w:r w:rsidRPr="003519DC">
        <w:t>los</w:t>
      </w:r>
      <w:proofErr w:type="spellEnd"/>
      <w:r w:rsidRPr="003519DC">
        <w:t xml:space="preserve"> </w:t>
      </w:r>
      <w:proofErr w:type="spellStart"/>
      <w:r w:rsidR="000D0F52">
        <w:t>consejos</w:t>
      </w:r>
      <w:proofErr w:type="spellEnd"/>
      <w:r w:rsidR="000D0F52">
        <w:t xml:space="preserve"> </w:t>
      </w:r>
      <w:r w:rsidRPr="003519DC">
        <w:t xml:space="preserve">se </w:t>
      </w:r>
      <w:proofErr w:type="spellStart"/>
      <w:r w:rsidRPr="003519DC">
        <w:t>dará</w:t>
      </w:r>
      <w:proofErr w:type="spellEnd"/>
      <w:r w:rsidRPr="003519DC">
        <w:t xml:space="preserve"> a </w:t>
      </w:r>
      <w:proofErr w:type="spellStart"/>
      <w:r w:rsidRPr="003519DC">
        <w:t>conocer</w:t>
      </w:r>
      <w:proofErr w:type="spellEnd"/>
      <w:r w:rsidRPr="003519DC">
        <w:t xml:space="preserve"> a </w:t>
      </w:r>
      <w:proofErr w:type="spellStart"/>
      <w:r w:rsidRPr="003519DC">
        <w:t>principios</w:t>
      </w:r>
      <w:proofErr w:type="spellEnd"/>
      <w:r w:rsidRPr="003519DC">
        <w:t xml:space="preserve"> del </w:t>
      </w:r>
      <w:proofErr w:type="spellStart"/>
      <w:r w:rsidRPr="003519DC">
        <w:t>mes</w:t>
      </w:r>
      <w:proofErr w:type="spellEnd"/>
      <w:r w:rsidRPr="003519DC">
        <w:t xml:space="preserve"> de </w:t>
      </w:r>
      <w:proofErr w:type="spellStart"/>
      <w:r w:rsidRPr="003519DC">
        <w:t>octubre</w:t>
      </w:r>
      <w:proofErr w:type="spellEnd"/>
      <w:r w:rsidRPr="003519DC">
        <w:t>:</w:t>
      </w:r>
    </w:p>
    <w:tbl>
      <w:tblPr>
        <w:tblW w:w="9053" w:type="dxa"/>
        <w:jc w:val="center"/>
        <w:tblInd w:w="-176" w:type="dxa"/>
        <w:tblLook w:val="04A0" w:firstRow="1" w:lastRow="0" w:firstColumn="1" w:lastColumn="0" w:noHBand="0" w:noVBand="1"/>
      </w:tblPr>
      <w:tblGrid>
        <w:gridCol w:w="972"/>
        <w:gridCol w:w="8081"/>
      </w:tblGrid>
      <w:tr w:rsidR="003519DC" w:rsidRPr="00BE61FF" w:rsidTr="00F65631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proofErr w:type="spellStart"/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dgs-nea</w:t>
            </w:r>
            <w:proofErr w:type="spellEnd"/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Spurdog (</w:t>
            </w:r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Squalus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acanthias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the Northeast Atlantic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proofErr w:type="spellStart"/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rju-ech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Undulate ray (</w:t>
            </w:r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Raja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undulata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Divisions VIId, e (English Channel)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raj-</w:t>
            </w:r>
            <w:proofErr w:type="spellStart"/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celt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Other skates and rays in Subareas VI and VII (excluding VIId)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proofErr w:type="spellStart"/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rja-nea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White skate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Rostroraja</w:t>
            </w:r>
            <w:proofErr w:type="spellEnd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 alba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the Northeast Atlantic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proofErr w:type="spellStart"/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rjb-celt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Common skate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Dipturus</w:t>
            </w:r>
            <w:proofErr w:type="spellEnd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batis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complex (flapper skate (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Dipturus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 cf.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flossada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and blue skate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Dipturus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 cf. </w:t>
            </w:r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intermedia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)) in Subareas VI and VII (excluding VIId)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rjc-7afg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Thornback ray (</w:t>
            </w:r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Raja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clavata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Divisions VIIa, f, g (Irish and Celtic Sea)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proofErr w:type="spellStart"/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rjc</w:t>
            </w:r>
            <w:proofErr w:type="spellEnd"/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-VI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Thornback ray (</w:t>
            </w:r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Raja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clavata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Subarea VI (West of Scotland)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rje-7fg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Small-eyed ray (</w:t>
            </w:r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Raja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microocellata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Divisions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VIIf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g (Bristol Channel)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proofErr w:type="spellStart"/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rjf-celt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Shagreen ray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Leucoraja</w:t>
            </w:r>
            <w:proofErr w:type="spellEnd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fullonica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Subareas VI and VII (Celtic Sea and West of Scotland)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rjh-7e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Blonde ray (</w:t>
            </w:r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Raja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brachyura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VIIe (western English Channel)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rjh-7afg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Blonde ray (</w:t>
            </w:r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Raja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brachyura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Divisions VIIa, f, g (Irish and Celtic Sea)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proofErr w:type="spellStart"/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rji-celt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Sandy ray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Leucoraja</w:t>
            </w:r>
            <w:proofErr w:type="spellEnd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circularis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Subareas VI and VII (Celtic Sea and West of Scotland)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rjm-7aeh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Spotted ray (</w:t>
            </w:r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Raja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montagui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Divisions VIIa and VII e-h (southern Celtic seas)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rjm-67bj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Spotted ray (</w:t>
            </w:r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Raja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montagui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Subarea VI and Divisions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VIIb,j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 (west of Scotland and Ireland)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proofErr w:type="spellStart"/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rjn-celt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Cuckoo ray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Leucoraja</w:t>
            </w:r>
            <w:proofErr w:type="spellEnd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naevus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Subareas VI and VII (Celtic Sea and West of Scotland)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rju-7j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Undulate ray (</w:t>
            </w:r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Raja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undulata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VIIj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 (Great Sole Bank)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rju-7bj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Undulate ray (</w:t>
            </w:r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Raja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undulata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VIIj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 (south-west Ireland)</w:t>
            </w:r>
          </w:p>
        </w:tc>
      </w:tr>
      <w:tr w:rsidR="003519DC" w:rsidRPr="00BE61FF" w:rsidTr="00F65631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DC" w:rsidRPr="006E1EA0" w:rsidRDefault="003519DC" w:rsidP="00F65631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raj-347d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DC" w:rsidRPr="00D360A8" w:rsidRDefault="003519DC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Other skates and rays in Subarea IV, and Divisions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IIIa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 and VIId (North Sea, Skagerrak, Kattegat, and Eastern English Channel)</w:t>
            </w:r>
          </w:p>
        </w:tc>
      </w:tr>
    </w:tbl>
    <w:p w:rsidR="00F739C0" w:rsidRDefault="00F739C0">
      <w:pPr>
        <w:spacing w:after="200" w:line="276" w:lineRule="auto"/>
        <w:rPr>
          <w:rFonts w:cstheme="minorHAnsi"/>
          <w:lang w:val="es-ES"/>
        </w:rPr>
      </w:pPr>
    </w:p>
    <w:p w:rsidR="00153A4F" w:rsidRPr="00153A4F" w:rsidRDefault="00153A4F">
      <w:pPr>
        <w:spacing w:after="200" w:line="276" w:lineRule="auto"/>
        <w:rPr>
          <w:rFonts w:cstheme="minorHAnsi"/>
          <w:i/>
          <w:lang w:val="es-ES"/>
        </w:rPr>
      </w:pPr>
      <w:r w:rsidRPr="00153A4F">
        <w:rPr>
          <w:rFonts w:cstheme="minorHAnsi"/>
          <w:i/>
          <w:lang w:val="es-ES"/>
        </w:rPr>
        <w:t>Texto de aviso previo para información</w:t>
      </w:r>
      <w:r w:rsidRPr="00153A4F">
        <w:rPr>
          <w:rStyle w:val="FootnoteReference"/>
          <w:rFonts w:cstheme="minorHAnsi"/>
          <w:i/>
          <w:lang w:val="es-ES"/>
        </w:rPr>
        <w:footnoteReference w:id="3"/>
      </w:r>
    </w:p>
    <w:p w:rsidR="00153A4F" w:rsidRPr="00153A4F" w:rsidRDefault="00153A4F">
      <w:pPr>
        <w:spacing w:after="200" w:line="276" w:lineRule="auto"/>
        <w:rPr>
          <w:i/>
        </w:rPr>
      </w:pPr>
      <w:proofErr w:type="gramStart"/>
      <w:r w:rsidRPr="00153A4F">
        <w:rPr>
          <w:i/>
        </w:rPr>
        <w:t>A lo</w:t>
      </w:r>
      <w:proofErr w:type="gramEnd"/>
      <w:r w:rsidRPr="00153A4F">
        <w:rPr>
          <w:i/>
        </w:rPr>
        <w:t xml:space="preserve"> largo de </w:t>
      </w:r>
      <w:proofErr w:type="spellStart"/>
      <w:r w:rsidRPr="00153A4F">
        <w:rPr>
          <w:i/>
        </w:rPr>
        <w:t>los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últimos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años</w:t>
      </w:r>
      <w:proofErr w:type="spellEnd"/>
      <w:r w:rsidRPr="00153A4F">
        <w:rPr>
          <w:i/>
        </w:rPr>
        <w:t xml:space="preserve">, se ha </w:t>
      </w:r>
      <w:proofErr w:type="spellStart"/>
      <w:r w:rsidRPr="00153A4F">
        <w:rPr>
          <w:i/>
        </w:rPr>
        <w:t>hablado</w:t>
      </w:r>
      <w:proofErr w:type="spellEnd"/>
      <w:r w:rsidRPr="00153A4F">
        <w:rPr>
          <w:i/>
        </w:rPr>
        <w:t xml:space="preserve"> de la </w:t>
      </w:r>
      <w:proofErr w:type="spellStart"/>
      <w:r w:rsidRPr="00153A4F">
        <w:rPr>
          <w:i/>
        </w:rPr>
        <w:t>situación</w:t>
      </w:r>
      <w:proofErr w:type="spellEnd"/>
      <w:r w:rsidRPr="00153A4F">
        <w:rPr>
          <w:i/>
        </w:rPr>
        <w:t xml:space="preserve"> de </w:t>
      </w:r>
      <w:proofErr w:type="spellStart"/>
      <w:r w:rsidRPr="00153A4F">
        <w:rPr>
          <w:i/>
        </w:rPr>
        <w:t>los</w:t>
      </w:r>
      <w:proofErr w:type="spellEnd"/>
      <w:r w:rsidRPr="00153A4F">
        <w:rPr>
          <w:i/>
        </w:rPr>
        <w:t xml:space="preserve"> «stocks con </w:t>
      </w:r>
      <w:proofErr w:type="spellStart"/>
      <w:r w:rsidRPr="00153A4F">
        <w:rPr>
          <w:i/>
        </w:rPr>
        <w:t>datos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limitados</w:t>
      </w:r>
      <w:proofErr w:type="spellEnd"/>
      <w:r w:rsidRPr="00153A4F">
        <w:rPr>
          <w:i/>
        </w:rPr>
        <w:t xml:space="preserve">» entre </w:t>
      </w:r>
      <w:proofErr w:type="spellStart"/>
      <w:r w:rsidRPr="00153A4F">
        <w:rPr>
          <w:i/>
        </w:rPr>
        <w:t>los</w:t>
      </w:r>
      <w:proofErr w:type="spellEnd"/>
      <w:r w:rsidRPr="00153A4F">
        <w:rPr>
          <w:i/>
        </w:rPr>
        <w:t xml:space="preserve"> que se </w:t>
      </w:r>
      <w:proofErr w:type="spellStart"/>
      <w:r w:rsidRPr="00153A4F">
        <w:rPr>
          <w:i/>
        </w:rPr>
        <w:t>encuentran</w:t>
      </w:r>
      <w:proofErr w:type="spellEnd"/>
      <w:r w:rsidRPr="00153A4F">
        <w:rPr>
          <w:i/>
        </w:rPr>
        <w:t xml:space="preserve"> las </w:t>
      </w:r>
      <w:proofErr w:type="spellStart"/>
      <w:r w:rsidRPr="00153A4F">
        <w:rPr>
          <w:i/>
        </w:rPr>
        <w:t>rayas</w:t>
      </w:r>
      <w:proofErr w:type="spellEnd"/>
      <w:r w:rsidRPr="00153A4F">
        <w:rPr>
          <w:i/>
        </w:rPr>
        <w:t xml:space="preserve">. A </w:t>
      </w:r>
      <w:proofErr w:type="spellStart"/>
      <w:r w:rsidRPr="00153A4F">
        <w:rPr>
          <w:i/>
        </w:rPr>
        <w:t>nivel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nacional</w:t>
      </w:r>
      <w:proofErr w:type="spellEnd"/>
      <w:r w:rsidRPr="00153A4F">
        <w:rPr>
          <w:i/>
        </w:rPr>
        <w:t xml:space="preserve"> y de la UE se </w:t>
      </w:r>
      <w:proofErr w:type="spellStart"/>
      <w:r w:rsidRPr="00153A4F">
        <w:rPr>
          <w:i/>
        </w:rPr>
        <w:t>han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realizado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esfuerzos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considerables</w:t>
      </w:r>
      <w:proofErr w:type="spellEnd"/>
      <w:r w:rsidRPr="00153A4F">
        <w:rPr>
          <w:i/>
        </w:rPr>
        <w:t xml:space="preserve"> para </w:t>
      </w:r>
      <w:proofErr w:type="spellStart"/>
      <w:r w:rsidRPr="00153A4F">
        <w:rPr>
          <w:i/>
        </w:rPr>
        <w:t>mejorar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los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datos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disponibles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relativos</w:t>
      </w:r>
      <w:proofErr w:type="spellEnd"/>
      <w:r w:rsidRPr="00153A4F">
        <w:rPr>
          <w:i/>
        </w:rPr>
        <w:t xml:space="preserve"> a </w:t>
      </w:r>
      <w:proofErr w:type="spellStart"/>
      <w:r w:rsidRPr="00153A4F">
        <w:rPr>
          <w:i/>
        </w:rPr>
        <w:t>este</w:t>
      </w:r>
      <w:proofErr w:type="spellEnd"/>
      <w:r w:rsidRPr="00153A4F">
        <w:rPr>
          <w:i/>
        </w:rPr>
        <w:t xml:space="preserve"> stock lo que ha </w:t>
      </w:r>
      <w:proofErr w:type="spellStart"/>
      <w:r w:rsidRPr="00153A4F">
        <w:rPr>
          <w:i/>
        </w:rPr>
        <w:t>generado</w:t>
      </w:r>
      <w:proofErr w:type="spellEnd"/>
      <w:r w:rsidRPr="00153A4F">
        <w:rPr>
          <w:i/>
        </w:rPr>
        <w:t xml:space="preserve"> que, </w:t>
      </w:r>
      <w:proofErr w:type="spellStart"/>
      <w:r w:rsidRPr="00153A4F">
        <w:rPr>
          <w:i/>
        </w:rPr>
        <w:t>en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su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dictamen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más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reciente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relativo</w:t>
      </w:r>
      <w:proofErr w:type="spellEnd"/>
      <w:r w:rsidRPr="00153A4F">
        <w:rPr>
          <w:i/>
        </w:rPr>
        <w:t xml:space="preserve"> a </w:t>
      </w:r>
      <w:proofErr w:type="spellStart"/>
      <w:r w:rsidRPr="00153A4F">
        <w:rPr>
          <w:i/>
        </w:rPr>
        <w:t>dicho</w:t>
      </w:r>
      <w:proofErr w:type="spellEnd"/>
      <w:r w:rsidRPr="00153A4F">
        <w:rPr>
          <w:i/>
        </w:rPr>
        <w:t xml:space="preserve"> stock, el </w:t>
      </w:r>
      <w:proofErr w:type="spellStart"/>
      <w:r w:rsidRPr="00153A4F">
        <w:rPr>
          <w:i/>
        </w:rPr>
        <w:t>publicado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en</w:t>
      </w:r>
      <w:proofErr w:type="spellEnd"/>
      <w:r w:rsidRPr="00153A4F">
        <w:rPr>
          <w:i/>
        </w:rPr>
        <w:t xml:space="preserve"> 2014, el CIEM </w:t>
      </w:r>
      <w:proofErr w:type="spellStart"/>
      <w:r w:rsidRPr="00153A4F">
        <w:rPr>
          <w:i/>
        </w:rPr>
        <w:t>declara</w:t>
      </w:r>
      <w:proofErr w:type="spellEnd"/>
      <w:r w:rsidRPr="00153A4F">
        <w:rPr>
          <w:i/>
        </w:rPr>
        <w:t xml:space="preserve"> que, </w:t>
      </w:r>
      <w:proofErr w:type="spellStart"/>
      <w:r w:rsidRPr="00153A4F">
        <w:rPr>
          <w:i/>
        </w:rPr>
        <w:t>más</w:t>
      </w:r>
      <w:proofErr w:type="spellEnd"/>
      <w:r w:rsidRPr="00153A4F">
        <w:rPr>
          <w:i/>
        </w:rPr>
        <w:t xml:space="preserve"> del 93% de </w:t>
      </w:r>
      <w:proofErr w:type="spellStart"/>
      <w:r w:rsidRPr="00153A4F">
        <w:rPr>
          <w:i/>
        </w:rPr>
        <w:t>los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desembarques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en</w:t>
      </w:r>
      <w:proofErr w:type="spellEnd"/>
      <w:r w:rsidRPr="00153A4F">
        <w:rPr>
          <w:i/>
        </w:rPr>
        <w:t xml:space="preserve"> 2013 de </w:t>
      </w:r>
      <w:proofErr w:type="spellStart"/>
      <w:r w:rsidRPr="00153A4F">
        <w:rPr>
          <w:i/>
        </w:rPr>
        <w:t>raya</w:t>
      </w:r>
      <w:proofErr w:type="spellEnd"/>
      <w:r w:rsidRPr="00153A4F">
        <w:rPr>
          <w:i/>
        </w:rPr>
        <w:t xml:space="preserve"> se </w:t>
      </w:r>
      <w:proofErr w:type="spellStart"/>
      <w:r w:rsidRPr="00153A4F">
        <w:rPr>
          <w:i/>
        </w:rPr>
        <w:t>referían</w:t>
      </w:r>
      <w:proofErr w:type="spellEnd"/>
      <w:r w:rsidRPr="00153A4F">
        <w:rPr>
          <w:i/>
        </w:rPr>
        <w:t xml:space="preserve"> a </w:t>
      </w:r>
      <w:proofErr w:type="spellStart"/>
      <w:r w:rsidRPr="00153A4F">
        <w:rPr>
          <w:i/>
        </w:rPr>
        <w:t>especies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individuales</w:t>
      </w:r>
      <w:proofErr w:type="spellEnd"/>
      <w:r w:rsidRPr="00153A4F">
        <w:rPr>
          <w:i/>
        </w:rPr>
        <w:t xml:space="preserve">. </w:t>
      </w:r>
    </w:p>
    <w:p w:rsidR="00153A4F" w:rsidRPr="00153A4F" w:rsidRDefault="00153A4F">
      <w:pPr>
        <w:spacing w:after="200" w:line="276" w:lineRule="auto"/>
        <w:rPr>
          <w:i/>
        </w:rPr>
      </w:pPr>
      <w:proofErr w:type="spellStart"/>
      <w:r w:rsidRPr="00153A4F">
        <w:rPr>
          <w:i/>
        </w:rPr>
        <w:t>En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dicho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dictamen</w:t>
      </w:r>
      <w:proofErr w:type="spellEnd"/>
      <w:r w:rsidRPr="00153A4F">
        <w:rPr>
          <w:i/>
        </w:rPr>
        <w:t xml:space="preserve">, el CIEM </w:t>
      </w:r>
      <w:proofErr w:type="spellStart"/>
      <w:r w:rsidRPr="00153A4F">
        <w:rPr>
          <w:i/>
        </w:rPr>
        <w:t>recuerda</w:t>
      </w:r>
      <w:proofErr w:type="spellEnd"/>
      <w:r w:rsidRPr="00153A4F">
        <w:rPr>
          <w:i/>
        </w:rPr>
        <w:t xml:space="preserve"> que la </w:t>
      </w:r>
      <w:proofErr w:type="spellStart"/>
      <w:r w:rsidRPr="00153A4F">
        <w:rPr>
          <w:i/>
        </w:rPr>
        <w:t>gestión</w:t>
      </w:r>
      <w:proofErr w:type="spellEnd"/>
      <w:r w:rsidRPr="00153A4F">
        <w:rPr>
          <w:i/>
        </w:rPr>
        <w:t xml:space="preserve"> de las </w:t>
      </w:r>
      <w:proofErr w:type="spellStart"/>
      <w:r w:rsidRPr="00153A4F">
        <w:rPr>
          <w:i/>
        </w:rPr>
        <w:t>rayas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mediante</w:t>
      </w:r>
      <w:proofErr w:type="spellEnd"/>
      <w:r w:rsidRPr="00153A4F">
        <w:rPr>
          <w:i/>
        </w:rPr>
        <w:t xml:space="preserve"> un TAC </w:t>
      </w:r>
      <w:proofErr w:type="spellStart"/>
      <w:r w:rsidRPr="00153A4F">
        <w:rPr>
          <w:i/>
        </w:rPr>
        <w:t>combinado</w:t>
      </w:r>
      <w:proofErr w:type="spellEnd"/>
      <w:r w:rsidRPr="00153A4F">
        <w:rPr>
          <w:i/>
        </w:rPr>
        <w:t xml:space="preserve"> no </w:t>
      </w:r>
      <w:proofErr w:type="spellStart"/>
      <w:r w:rsidRPr="00153A4F">
        <w:rPr>
          <w:i/>
        </w:rPr>
        <w:t>es</w:t>
      </w:r>
      <w:proofErr w:type="spellEnd"/>
      <w:r w:rsidRPr="00153A4F">
        <w:rPr>
          <w:i/>
        </w:rPr>
        <w:t xml:space="preserve"> el </w:t>
      </w:r>
      <w:proofErr w:type="spellStart"/>
      <w:r w:rsidRPr="00153A4F">
        <w:rPr>
          <w:i/>
        </w:rPr>
        <w:t>método</w:t>
      </w:r>
      <w:proofErr w:type="spellEnd"/>
      <w:r w:rsidRPr="00153A4F">
        <w:rPr>
          <w:i/>
        </w:rPr>
        <w:t xml:space="preserve"> de </w:t>
      </w:r>
      <w:proofErr w:type="spellStart"/>
      <w:r w:rsidRPr="00153A4F">
        <w:rPr>
          <w:i/>
        </w:rPr>
        <w:t>gestión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más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eficaz</w:t>
      </w:r>
      <w:proofErr w:type="spellEnd"/>
      <w:r w:rsidRPr="00153A4F">
        <w:rPr>
          <w:i/>
        </w:rPr>
        <w:t xml:space="preserve">, y no </w:t>
      </w:r>
      <w:proofErr w:type="spellStart"/>
      <w:r w:rsidRPr="00153A4F">
        <w:rPr>
          <w:i/>
        </w:rPr>
        <w:t>emite</w:t>
      </w:r>
      <w:proofErr w:type="spellEnd"/>
      <w:r w:rsidRPr="00153A4F">
        <w:rPr>
          <w:i/>
        </w:rPr>
        <w:t xml:space="preserve"> un </w:t>
      </w:r>
      <w:proofErr w:type="spellStart"/>
      <w:r w:rsidRPr="00153A4F">
        <w:rPr>
          <w:i/>
        </w:rPr>
        <w:t>dictamen</w:t>
      </w:r>
      <w:proofErr w:type="spellEnd"/>
      <w:r w:rsidRPr="00153A4F">
        <w:rPr>
          <w:i/>
        </w:rPr>
        <w:t xml:space="preserve"> para </w:t>
      </w:r>
      <w:proofErr w:type="spellStart"/>
      <w:r w:rsidRPr="00153A4F">
        <w:rPr>
          <w:i/>
        </w:rPr>
        <w:t>este</w:t>
      </w:r>
      <w:proofErr w:type="spellEnd"/>
      <w:r w:rsidRPr="00153A4F">
        <w:rPr>
          <w:i/>
        </w:rPr>
        <w:t xml:space="preserve"> «</w:t>
      </w:r>
      <w:proofErr w:type="spellStart"/>
      <w:r w:rsidRPr="00153A4F">
        <w:rPr>
          <w:i/>
        </w:rPr>
        <w:t>conjunto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genérico</w:t>
      </w:r>
      <w:proofErr w:type="spellEnd"/>
      <w:r w:rsidRPr="00153A4F">
        <w:rPr>
          <w:i/>
        </w:rPr>
        <w:t xml:space="preserve"> de </w:t>
      </w:r>
      <w:proofErr w:type="spellStart"/>
      <w:r w:rsidRPr="00153A4F">
        <w:rPr>
          <w:i/>
        </w:rPr>
        <w:t>rayas</w:t>
      </w:r>
      <w:proofErr w:type="spellEnd"/>
      <w:r w:rsidRPr="00153A4F">
        <w:rPr>
          <w:i/>
        </w:rPr>
        <w:t>»: «</w:t>
      </w:r>
      <w:proofErr w:type="spellStart"/>
      <w:r w:rsidRPr="00153A4F">
        <w:rPr>
          <w:i/>
        </w:rPr>
        <w:t>Medidas</w:t>
      </w:r>
      <w:proofErr w:type="spellEnd"/>
      <w:r w:rsidRPr="00153A4F">
        <w:rPr>
          <w:i/>
        </w:rPr>
        <w:t xml:space="preserve"> de </w:t>
      </w:r>
      <w:proofErr w:type="spellStart"/>
      <w:r w:rsidRPr="00153A4F">
        <w:rPr>
          <w:i/>
        </w:rPr>
        <w:t>gestión</w:t>
      </w:r>
      <w:proofErr w:type="spellEnd"/>
      <w:r w:rsidRPr="00153A4F">
        <w:rPr>
          <w:i/>
        </w:rPr>
        <w:t xml:space="preserve"> tales </w:t>
      </w:r>
      <w:proofErr w:type="spellStart"/>
      <w:r w:rsidRPr="00153A4F">
        <w:rPr>
          <w:i/>
        </w:rPr>
        <w:t>como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los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cierres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zonales</w:t>
      </w:r>
      <w:proofErr w:type="spellEnd"/>
      <w:r w:rsidRPr="00153A4F">
        <w:rPr>
          <w:i/>
        </w:rPr>
        <w:t xml:space="preserve"> o </w:t>
      </w:r>
      <w:proofErr w:type="spellStart"/>
      <w:r w:rsidRPr="00153A4F">
        <w:rPr>
          <w:i/>
        </w:rPr>
        <w:t>temporales</w:t>
      </w:r>
      <w:proofErr w:type="spellEnd"/>
      <w:r w:rsidRPr="00153A4F">
        <w:rPr>
          <w:i/>
        </w:rPr>
        <w:t xml:space="preserve"> o las </w:t>
      </w:r>
      <w:proofErr w:type="spellStart"/>
      <w:r w:rsidRPr="00153A4F">
        <w:rPr>
          <w:i/>
        </w:rPr>
        <w:t>restricciones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en</w:t>
      </w:r>
      <w:proofErr w:type="spellEnd"/>
      <w:r w:rsidRPr="00153A4F">
        <w:rPr>
          <w:i/>
        </w:rPr>
        <w:t xml:space="preserve"> el </w:t>
      </w:r>
      <w:proofErr w:type="spellStart"/>
      <w:r w:rsidRPr="00153A4F">
        <w:rPr>
          <w:i/>
        </w:rPr>
        <w:t>esfuerzo</w:t>
      </w:r>
      <w:proofErr w:type="spellEnd"/>
      <w:r w:rsidRPr="00153A4F">
        <w:rPr>
          <w:i/>
        </w:rPr>
        <w:t xml:space="preserve"> de </w:t>
      </w:r>
      <w:proofErr w:type="spellStart"/>
      <w:r w:rsidRPr="00153A4F">
        <w:rPr>
          <w:i/>
        </w:rPr>
        <w:t>pesca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permiten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proteger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mejor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los</w:t>
      </w:r>
      <w:proofErr w:type="spellEnd"/>
      <w:r w:rsidRPr="00153A4F">
        <w:rPr>
          <w:i/>
        </w:rPr>
        <w:t xml:space="preserve"> stocks de </w:t>
      </w:r>
      <w:proofErr w:type="spellStart"/>
      <w:r w:rsidRPr="00153A4F">
        <w:rPr>
          <w:i/>
        </w:rPr>
        <w:t>rayas</w:t>
      </w:r>
      <w:proofErr w:type="spellEnd"/>
      <w:r w:rsidRPr="00153A4F">
        <w:rPr>
          <w:i/>
        </w:rPr>
        <w:t xml:space="preserve"> que la </w:t>
      </w:r>
      <w:proofErr w:type="spellStart"/>
      <w:r w:rsidRPr="00153A4F">
        <w:rPr>
          <w:i/>
        </w:rPr>
        <w:t>gestión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mediante</w:t>
      </w:r>
      <w:proofErr w:type="spellEnd"/>
      <w:r w:rsidRPr="00153A4F">
        <w:rPr>
          <w:i/>
        </w:rPr>
        <w:t xml:space="preserve"> TAC. </w:t>
      </w:r>
      <w:proofErr w:type="spellStart"/>
      <w:proofErr w:type="gramStart"/>
      <w:r w:rsidRPr="00153A4F">
        <w:rPr>
          <w:i/>
        </w:rPr>
        <w:t>En</w:t>
      </w:r>
      <w:proofErr w:type="spellEnd"/>
      <w:r w:rsidRPr="00153A4F">
        <w:rPr>
          <w:i/>
        </w:rPr>
        <w:t xml:space="preserve"> particular, </w:t>
      </w:r>
      <w:proofErr w:type="spellStart"/>
      <w:r w:rsidRPr="00153A4F">
        <w:rPr>
          <w:i/>
        </w:rPr>
        <w:t>serían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beneficiosas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medidas</w:t>
      </w:r>
      <w:proofErr w:type="spellEnd"/>
      <w:r w:rsidRPr="00153A4F">
        <w:rPr>
          <w:i/>
        </w:rPr>
        <w:t xml:space="preserve"> para </w:t>
      </w:r>
      <w:proofErr w:type="spellStart"/>
      <w:r w:rsidRPr="00153A4F">
        <w:rPr>
          <w:i/>
        </w:rPr>
        <w:t>proteger</w:t>
      </w:r>
      <w:proofErr w:type="spellEnd"/>
      <w:r w:rsidRPr="00153A4F">
        <w:rPr>
          <w:i/>
        </w:rPr>
        <w:t xml:space="preserve"> las zonas de </w:t>
      </w:r>
      <w:proofErr w:type="spellStart"/>
      <w:r w:rsidRPr="00153A4F">
        <w:rPr>
          <w:i/>
        </w:rPr>
        <w:t>freza</w:t>
      </w:r>
      <w:proofErr w:type="spellEnd"/>
      <w:r w:rsidRPr="00153A4F">
        <w:rPr>
          <w:i/>
        </w:rPr>
        <w:t xml:space="preserve">/zonas de </w:t>
      </w:r>
      <w:proofErr w:type="spellStart"/>
      <w:r w:rsidRPr="00153A4F">
        <w:rPr>
          <w:i/>
        </w:rPr>
        <w:t>cría</w:t>
      </w:r>
      <w:proofErr w:type="spellEnd"/>
      <w:r w:rsidRPr="00153A4F">
        <w:rPr>
          <w:i/>
        </w:rPr>
        <w:t xml:space="preserve"> y las </w:t>
      </w:r>
      <w:proofErr w:type="spellStart"/>
      <w:r w:rsidRPr="00153A4F">
        <w:rPr>
          <w:i/>
        </w:rPr>
        <w:t>grandes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hembras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maduras</w:t>
      </w:r>
      <w:proofErr w:type="spellEnd"/>
      <w:r w:rsidRPr="00153A4F">
        <w:rPr>
          <w:i/>
        </w:rPr>
        <w:t>».</w:t>
      </w:r>
      <w:proofErr w:type="gramEnd"/>
      <w:r w:rsidRPr="00153A4F">
        <w:rPr>
          <w:i/>
        </w:rPr>
        <w:t xml:space="preserve"> </w:t>
      </w:r>
    </w:p>
    <w:p w:rsidR="00153A4F" w:rsidRPr="00153A4F" w:rsidRDefault="00153A4F">
      <w:pPr>
        <w:spacing w:after="200" w:line="276" w:lineRule="auto"/>
        <w:rPr>
          <w:i/>
        </w:rPr>
      </w:pPr>
      <w:r w:rsidRPr="00153A4F">
        <w:rPr>
          <w:i/>
        </w:rPr>
        <w:t xml:space="preserve">Sin embargo y a </w:t>
      </w:r>
      <w:proofErr w:type="spellStart"/>
      <w:r w:rsidRPr="00153A4F">
        <w:rPr>
          <w:i/>
        </w:rPr>
        <w:t>pesar</w:t>
      </w:r>
      <w:proofErr w:type="spellEnd"/>
      <w:r w:rsidRPr="00153A4F">
        <w:rPr>
          <w:i/>
        </w:rPr>
        <w:t xml:space="preserve"> de lo </w:t>
      </w:r>
      <w:proofErr w:type="spellStart"/>
      <w:r w:rsidRPr="00153A4F">
        <w:rPr>
          <w:i/>
        </w:rPr>
        <w:t>anteriormente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dicho</w:t>
      </w:r>
      <w:proofErr w:type="spellEnd"/>
      <w:r w:rsidRPr="00153A4F">
        <w:rPr>
          <w:i/>
        </w:rPr>
        <w:t xml:space="preserve">, la </w:t>
      </w:r>
      <w:proofErr w:type="spellStart"/>
      <w:r w:rsidRPr="00153A4F">
        <w:rPr>
          <w:i/>
        </w:rPr>
        <w:t>Comisión</w:t>
      </w:r>
      <w:proofErr w:type="spellEnd"/>
      <w:r w:rsidRPr="00153A4F">
        <w:rPr>
          <w:i/>
        </w:rPr>
        <w:t xml:space="preserve"> ha </w:t>
      </w:r>
      <w:proofErr w:type="spellStart"/>
      <w:r w:rsidRPr="00153A4F">
        <w:rPr>
          <w:i/>
        </w:rPr>
        <w:t>propuesto</w:t>
      </w:r>
      <w:proofErr w:type="spellEnd"/>
      <w:r w:rsidRPr="00153A4F">
        <w:rPr>
          <w:i/>
        </w:rPr>
        <w:t xml:space="preserve"> para 2016 </w:t>
      </w:r>
      <w:proofErr w:type="spellStart"/>
      <w:r w:rsidRPr="00153A4F">
        <w:rPr>
          <w:i/>
        </w:rPr>
        <w:t>una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reducción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en</w:t>
      </w:r>
      <w:proofErr w:type="spellEnd"/>
      <w:r w:rsidRPr="00153A4F">
        <w:rPr>
          <w:i/>
        </w:rPr>
        <w:t xml:space="preserve"> </w:t>
      </w:r>
      <w:proofErr w:type="gramStart"/>
      <w:r w:rsidRPr="00153A4F">
        <w:rPr>
          <w:i/>
        </w:rPr>
        <w:t>un</w:t>
      </w:r>
      <w:proofErr w:type="gramEnd"/>
      <w:r w:rsidRPr="00153A4F">
        <w:rPr>
          <w:i/>
        </w:rPr>
        <w:t xml:space="preserve"> 20% de la </w:t>
      </w:r>
      <w:proofErr w:type="spellStart"/>
      <w:r w:rsidRPr="00153A4F">
        <w:rPr>
          <w:i/>
        </w:rPr>
        <w:t>cuota</w:t>
      </w:r>
      <w:proofErr w:type="spellEnd"/>
      <w:r w:rsidRPr="00153A4F">
        <w:rPr>
          <w:i/>
        </w:rPr>
        <w:t xml:space="preserve"> de </w:t>
      </w:r>
      <w:proofErr w:type="spellStart"/>
      <w:r w:rsidRPr="00153A4F">
        <w:rPr>
          <w:i/>
        </w:rPr>
        <w:t>rayas</w:t>
      </w:r>
      <w:proofErr w:type="spellEnd"/>
      <w:r w:rsidRPr="00153A4F">
        <w:rPr>
          <w:i/>
        </w:rPr>
        <w:t xml:space="preserve">, </w:t>
      </w:r>
      <w:proofErr w:type="spellStart"/>
      <w:r w:rsidRPr="00153A4F">
        <w:rPr>
          <w:i/>
        </w:rPr>
        <w:t>tal</w:t>
      </w:r>
      <w:proofErr w:type="spellEnd"/>
      <w:r w:rsidRPr="00153A4F">
        <w:rPr>
          <w:i/>
        </w:rPr>
        <w:t xml:space="preserve"> y </w:t>
      </w:r>
      <w:proofErr w:type="spellStart"/>
      <w:r w:rsidRPr="00153A4F">
        <w:rPr>
          <w:i/>
        </w:rPr>
        <w:t>como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ya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propuso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en</w:t>
      </w:r>
      <w:proofErr w:type="spellEnd"/>
      <w:r w:rsidRPr="00153A4F">
        <w:rPr>
          <w:i/>
        </w:rPr>
        <w:t xml:space="preserve"> 2015. </w:t>
      </w:r>
      <w:proofErr w:type="spellStart"/>
      <w:r w:rsidRPr="00153A4F">
        <w:rPr>
          <w:i/>
        </w:rPr>
        <w:t>En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los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últimos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años</w:t>
      </w:r>
      <w:proofErr w:type="spellEnd"/>
      <w:r w:rsidRPr="00153A4F">
        <w:rPr>
          <w:i/>
        </w:rPr>
        <w:t xml:space="preserve">, </w:t>
      </w:r>
      <w:proofErr w:type="spellStart"/>
      <w:r w:rsidRPr="00153A4F">
        <w:rPr>
          <w:i/>
        </w:rPr>
        <w:t>los</w:t>
      </w:r>
      <w:proofErr w:type="spellEnd"/>
      <w:r w:rsidRPr="00153A4F">
        <w:rPr>
          <w:i/>
        </w:rPr>
        <w:t xml:space="preserve"> TAC </w:t>
      </w:r>
      <w:proofErr w:type="spellStart"/>
      <w:r w:rsidRPr="00153A4F">
        <w:rPr>
          <w:i/>
        </w:rPr>
        <w:t>aplicados</w:t>
      </w:r>
      <w:proofErr w:type="spellEnd"/>
      <w:r w:rsidRPr="00153A4F">
        <w:rPr>
          <w:i/>
        </w:rPr>
        <w:t xml:space="preserve"> a </w:t>
      </w:r>
      <w:proofErr w:type="spellStart"/>
      <w:r w:rsidRPr="00153A4F">
        <w:rPr>
          <w:i/>
        </w:rPr>
        <w:t>dichos</w:t>
      </w:r>
      <w:proofErr w:type="spellEnd"/>
      <w:r w:rsidRPr="00153A4F">
        <w:rPr>
          <w:i/>
        </w:rPr>
        <w:t xml:space="preserve"> stocks </w:t>
      </w:r>
      <w:proofErr w:type="spellStart"/>
      <w:proofErr w:type="gramStart"/>
      <w:r w:rsidRPr="00153A4F">
        <w:rPr>
          <w:i/>
        </w:rPr>
        <w:t>han</w:t>
      </w:r>
      <w:proofErr w:type="spellEnd"/>
      <w:proofErr w:type="gram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sufrido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importantes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reducciones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fundamentadas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en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su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consideración</w:t>
      </w:r>
      <w:proofErr w:type="spellEnd"/>
      <w:r w:rsidRPr="00153A4F">
        <w:rPr>
          <w:i/>
        </w:rPr>
        <w:t xml:space="preserve"> de stocks con </w:t>
      </w:r>
      <w:proofErr w:type="spellStart"/>
      <w:r w:rsidRPr="00153A4F">
        <w:rPr>
          <w:i/>
        </w:rPr>
        <w:t>datos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limitados</w:t>
      </w:r>
      <w:proofErr w:type="spellEnd"/>
      <w:r w:rsidRPr="00153A4F">
        <w:rPr>
          <w:i/>
        </w:rPr>
        <w:t xml:space="preserve">. De </w:t>
      </w:r>
      <w:proofErr w:type="spellStart"/>
      <w:r w:rsidRPr="00153A4F">
        <w:rPr>
          <w:i/>
        </w:rPr>
        <w:t>aplicarse</w:t>
      </w:r>
      <w:proofErr w:type="spellEnd"/>
      <w:r w:rsidRPr="00153A4F">
        <w:rPr>
          <w:i/>
        </w:rPr>
        <w:t xml:space="preserve"> la </w:t>
      </w:r>
      <w:proofErr w:type="spellStart"/>
      <w:r w:rsidRPr="00153A4F">
        <w:rPr>
          <w:i/>
        </w:rPr>
        <w:t>cuota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propuesta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por</w:t>
      </w:r>
      <w:proofErr w:type="spellEnd"/>
      <w:r w:rsidRPr="00153A4F">
        <w:rPr>
          <w:i/>
        </w:rPr>
        <w:t xml:space="preserve"> la </w:t>
      </w:r>
      <w:proofErr w:type="spellStart"/>
      <w:r w:rsidRPr="00153A4F">
        <w:rPr>
          <w:i/>
        </w:rPr>
        <w:t>Comisión</w:t>
      </w:r>
      <w:proofErr w:type="spellEnd"/>
      <w:r w:rsidRPr="00153A4F">
        <w:rPr>
          <w:i/>
        </w:rPr>
        <w:t xml:space="preserve"> para el </w:t>
      </w:r>
      <w:proofErr w:type="spellStart"/>
      <w:r w:rsidRPr="00153A4F">
        <w:rPr>
          <w:i/>
        </w:rPr>
        <w:t>año</w:t>
      </w:r>
      <w:proofErr w:type="spellEnd"/>
      <w:r w:rsidRPr="00153A4F">
        <w:rPr>
          <w:i/>
        </w:rPr>
        <w:t xml:space="preserve"> 2016, </w:t>
      </w:r>
      <w:proofErr w:type="spellStart"/>
      <w:r w:rsidRPr="00153A4F">
        <w:rPr>
          <w:i/>
        </w:rPr>
        <w:t>ello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supondría</w:t>
      </w:r>
      <w:proofErr w:type="spellEnd"/>
      <w:r w:rsidRPr="00153A4F">
        <w:rPr>
          <w:i/>
        </w:rPr>
        <w:t xml:space="preserve"> que el TAC de </w:t>
      </w:r>
      <w:proofErr w:type="spellStart"/>
      <w:r w:rsidRPr="00153A4F">
        <w:rPr>
          <w:i/>
        </w:rPr>
        <w:t>dicho</w:t>
      </w:r>
      <w:proofErr w:type="spellEnd"/>
      <w:r w:rsidRPr="00153A4F">
        <w:rPr>
          <w:i/>
        </w:rPr>
        <w:t xml:space="preserve"> stock se </w:t>
      </w:r>
      <w:proofErr w:type="spellStart"/>
      <w:r w:rsidRPr="00153A4F">
        <w:rPr>
          <w:i/>
        </w:rPr>
        <w:t>habría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reducido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en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más</w:t>
      </w:r>
      <w:proofErr w:type="spellEnd"/>
      <w:r w:rsidRPr="00153A4F">
        <w:rPr>
          <w:i/>
        </w:rPr>
        <w:t xml:space="preserve"> de </w:t>
      </w:r>
      <w:proofErr w:type="gramStart"/>
      <w:r w:rsidRPr="00153A4F">
        <w:rPr>
          <w:i/>
        </w:rPr>
        <w:t>un</w:t>
      </w:r>
      <w:proofErr w:type="gramEnd"/>
      <w:r w:rsidRPr="00153A4F">
        <w:rPr>
          <w:i/>
        </w:rPr>
        <w:t xml:space="preserve"> 45% </w:t>
      </w:r>
      <w:proofErr w:type="spellStart"/>
      <w:r w:rsidRPr="00153A4F">
        <w:rPr>
          <w:i/>
        </w:rPr>
        <w:t>desde</w:t>
      </w:r>
      <w:proofErr w:type="spellEnd"/>
      <w:r w:rsidRPr="00153A4F">
        <w:rPr>
          <w:i/>
        </w:rPr>
        <w:t xml:space="preserve"> 2011. </w:t>
      </w:r>
    </w:p>
    <w:p w:rsidR="00153A4F" w:rsidRPr="00153A4F" w:rsidRDefault="00153A4F">
      <w:pPr>
        <w:spacing w:after="200" w:line="276" w:lineRule="auto"/>
        <w:rPr>
          <w:i/>
        </w:rPr>
      </w:pPr>
      <w:r w:rsidRPr="00153A4F">
        <w:rPr>
          <w:i/>
        </w:rPr>
        <w:t xml:space="preserve">Los </w:t>
      </w:r>
      <w:proofErr w:type="spellStart"/>
      <w:r w:rsidRPr="00153A4F">
        <w:rPr>
          <w:i/>
        </w:rPr>
        <w:t>representantes</w:t>
      </w:r>
      <w:proofErr w:type="spellEnd"/>
      <w:r w:rsidRPr="00153A4F">
        <w:rPr>
          <w:i/>
        </w:rPr>
        <w:t xml:space="preserve"> </w:t>
      </w:r>
      <w:proofErr w:type="gramStart"/>
      <w:r w:rsidRPr="00153A4F">
        <w:rPr>
          <w:i/>
        </w:rPr>
        <w:t>del</w:t>
      </w:r>
      <w:proofErr w:type="gramEnd"/>
      <w:r w:rsidRPr="00153A4F">
        <w:rPr>
          <w:i/>
        </w:rPr>
        <w:t xml:space="preserve"> sector del CC-ANOC </w:t>
      </w:r>
      <w:proofErr w:type="spellStart"/>
      <w:r w:rsidRPr="00153A4F">
        <w:rPr>
          <w:i/>
        </w:rPr>
        <w:t>consideran</w:t>
      </w:r>
      <w:proofErr w:type="spellEnd"/>
      <w:r w:rsidRPr="00153A4F">
        <w:rPr>
          <w:i/>
        </w:rPr>
        <w:t xml:space="preserve"> que la </w:t>
      </w:r>
      <w:proofErr w:type="spellStart"/>
      <w:r w:rsidRPr="00153A4F">
        <w:rPr>
          <w:i/>
        </w:rPr>
        <w:t>propuesta</w:t>
      </w:r>
      <w:proofErr w:type="spellEnd"/>
      <w:r w:rsidRPr="00153A4F">
        <w:rPr>
          <w:i/>
        </w:rPr>
        <w:t xml:space="preserve"> de la </w:t>
      </w:r>
      <w:proofErr w:type="spellStart"/>
      <w:r w:rsidRPr="00153A4F">
        <w:rPr>
          <w:i/>
        </w:rPr>
        <w:t>Comisión</w:t>
      </w:r>
      <w:proofErr w:type="spellEnd"/>
      <w:r w:rsidRPr="00153A4F">
        <w:rPr>
          <w:i/>
        </w:rPr>
        <w:t xml:space="preserve"> de </w:t>
      </w:r>
      <w:proofErr w:type="spellStart"/>
      <w:r w:rsidRPr="00153A4F">
        <w:rPr>
          <w:i/>
        </w:rPr>
        <w:t>aplicar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una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nueva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reducción</w:t>
      </w:r>
      <w:proofErr w:type="spellEnd"/>
      <w:r w:rsidRPr="00153A4F">
        <w:rPr>
          <w:i/>
        </w:rPr>
        <w:t xml:space="preserve"> del TAC </w:t>
      </w:r>
      <w:proofErr w:type="spellStart"/>
      <w:r w:rsidRPr="00153A4F">
        <w:rPr>
          <w:i/>
        </w:rPr>
        <w:t>es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contraria</w:t>
      </w:r>
      <w:proofErr w:type="spellEnd"/>
      <w:r w:rsidRPr="00153A4F">
        <w:rPr>
          <w:i/>
        </w:rPr>
        <w:t xml:space="preserve"> al </w:t>
      </w:r>
      <w:proofErr w:type="spellStart"/>
      <w:r w:rsidRPr="00153A4F">
        <w:rPr>
          <w:i/>
        </w:rPr>
        <w:t>dictamen</w:t>
      </w:r>
      <w:proofErr w:type="spellEnd"/>
      <w:r w:rsidRPr="00153A4F">
        <w:rPr>
          <w:i/>
        </w:rPr>
        <w:t xml:space="preserve"> del CIEM </w:t>
      </w:r>
      <w:proofErr w:type="spellStart"/>
      <w:r w:rsidRPr="00153A4F">
        <w:rPr>
          <w:i/>
        </w:rPr>
        <w:t>en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cuanto</w:t>
      </w:r>
      <w:proofErr w:type="spellEnd"/>
      <w:r w:rsidRPr="00153A4F">
        <w:rPr>
          <w:i/>
        </w:rPr>
        <w:t xml:space="preserve"> a la </w:t>
      </w:r>
      <w:proofErr w:type="spellStart"/>
      <w:r w:rsidRPr="00153A4F">
        <w:rPr>
          <w:i/>
        </w:rPr>
        <w:t>mejor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manera</w:t>
      </w:r>
      <w:proofErr w:type="spellEnd"/>
      <w:r w:rsidRPr="00153A4F">
        <w:rPr>
          <w:i/>
        </w:rPr>
        <w:t xml:space="preserve"> de </w:t>
      </w:r>
      <w:proofErr w:type="spellStart"/>
      <w:r w:rsidRPr="00153A4F">
        <w:rPr>
          <w:i/>
        </w:rPr>
        <w:t>gestionar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dicho</w:t>
      </w:r>
      <w:proofErr w:type="spellEnd"/>
      <w:r w:rsidRPr="00153A4F">
        <w:rPr>
          <w:i/>
        </w:rPr>
        <w:t xml:space="preserve"> stock </w:t>
      </w:r>
      <w:proofErr w:type="spellStart"/>
      <w:r w:rsidRPr="00153A4F">
        <w:rPr>
          <w:i/>
        </w:rPr>
        <w:t>por</w:t>
      </w:r>
      <w:proofErr w:type="spellEnd"/>
      <w:r w:rsidRPr="00153A4F">
        <w:rPr>
          <w:i/>
        </w:rPr>
        <w:t xml:space="preserve"> lo que no </w:t>
      </w:r>
      <w:proofErr w:type="spellStart"/>
      <w:r w:rsidRPr="00153A4F">
        <w:rPr>
          <w:i/>
        </w:rPr>
        <w:t>debería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aplicarse</w:t>
      </w:r>
      <w:proofErr w:type="spellEnd"/>
      <w:r w:rsidRPr="00153A4F">
        <w:rPr>
          <w:i/>
        </w:rPr>
        <w:t>.</w:t>
      </w:r>
    </w:p>
    <w:p w:rsidR="00153A4F" w:rsidRPr="00153A4F" w:rsidRDefault="00153A4F">
      <w:pPr>
        <w:spacing w:after="200" w:line="276" w:lineRule="auto"/>
        <w:rPr>
          <w:rFonts w:cstheme="minorHAnsi"/>
          <w:i/>
          <w:lang w:val="es-ES"/>
        </w:rPr>
      </w:pPr>
      <w:r w:rsidRPr="00153A4F">
        <w:rPr>
          <w:i/>
        </w:rPr>
        <w:t xml:space="preserve">Los </w:t>
      </w:r>
      <w:proofErr w:type="spellStart"/>
      <w:r w:rsidRPr="00153A4F">
        <w:rPr>
          <w:i/>
        </w:rPr>
        <w:t>representantes</w:t>
      </w:r>
      <w:proofErr w:type="spellEnd"/>
      <w:r w:rsidRPr="00153A4F">
        <w:rPr>
          <w:i/>
        </w:rPr>
        <w:t xml:space="preserve"> de «</w:t>
      </w:r>
      <w:proofErr w:type="spellStart"/>
      <w:r w:rsidRPr="00153A4F">
        <w:rPr>
          <w:i/>
        </w:rPr>
        <w:t>Otros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Grupos</w:t>
      </w:r>
      <w:proofErr w:type="spellEnd"/>
      <w:r w:rsidRPr="00153A4F">
        <w:rPr>
          <w:i/>
        </w:rPr>
        <w:t xml:space="preserve"> de </w:t>
      </w:r>
      <w:proofErr w:type="spellStart"/>
      <w:r w:rsidRPr="00153A4F">
        <w:rPr>
          <w:i/>
        </w:rPr>
        <w:t>Interés</w:t>
      </w:r>
      <w:proofErr w:type="spellEnd"/>
      <w:r w:rsidRPr="00153A4F">
        <w:rPr>
          <w:i/>
        </w:rPr>
        <w:t xml:space="preserve">» </w:t>
      </w:r>
      <w:proofErr w:type="gramStart"/>
      <w:r w:rsidRPr="00153A4F">
        <w:rPr>
          <w:i/>
        </w:rPr>
        <w:t>del</w:t>
      </w:r>
      <w:proofErr w:type="gramEnd"/>
      <w:r w:rsidRPr="00153A4F">
        <w:rPr>
          <w:i/>
        </w:rPr>
        <w:t xml:space="preserve"> CC-ANOC </w:t>
      </w:r>
      <w:proofErr w:type="spellStart"/>
      <w:r w:rsidRPr="00153A4F">
        <w:rPr>
          <w:i/>
        </w:rPr>
        <w:t>aducen</w:t>
      </w:r>
      <w:proofErr w:type="spellEnd"/>
      <w:r w:rsidRPr="00153A4F">
        <w:rPr>
          <w:i/>
        </w:rPr>
        <w:t xml:space="preserve"> que </w:t>
      </w:r>
      <w:proofErr w:type="spellStart"/>
      <w:r w:rsidRPr="00153A4F">
        <w:rPr>
          <w:i/>
        </w:rPr>
        <w:t>algunas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especies</w:t>
      </w:r>
      <w:proofErr w:type="spellEnd"/>
      <w:r w:rsidRPr="00153A4F">
        <w:rPr>
          <w:i/>
        </w:rPr>
        <w:t xml:space="preserve"> del stock de </w:t>
      </w:r>
      <w:proofErr w:type="spellStart"/>
      <w:r w:rsidRPr="00153A4F">
        <w:rPr>
          <w:i/>
        </w:rPr>
        <w:t>rayas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están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en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muy</w:t>
      </w:r>
      <w:proofErr w:type="spellEnd"/>
      <w:r w:rsidRPr="00153A4F">
        <w:rPr>
          <w:i/>
        </w:rPr>
        <w:t xml:space="preserve"> mal </w:t>
      </w:r>
      <w:proofErr w:type="spellStart"/>
      <w:r w:rsidRPr="00153A4F">
        <w:rPr>
          <w:i/>
        </w:rPr>
        <w:t>estado</w:t>
      </w:r>
      <w:proofErr w:type="spellEnd"/>
      <w:r w:rsidRPr="00153A4F">
        <w:rPr>
          <w:i/>
        </w:rPr>
        <w:t xml:space="preserve">. Si el </w:t>
      </w:r>
      <w:proofErr w:type="spellStart"/>
      <w:r w:rsidRPr="00153A4F">
        <w:rPr>
          <w:i/>
        </w:rPr>
        <w:t>conjunto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sigue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siendo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gestionado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según</w:t>
      </w:r>
      <w:proofErr w:type="spellEnd"/>
      <w:r w:rsidRPr="00153A4F">
        <w:rPr>
          <w:i/>
        </w:rPr>
        <w:t xml:space="preserve"> </w:t>
      </w:r>
      <w:proofErr w:type="gramStart"/>
      <w:r w:rsidRPr="00153A4F">
        <w:rPr>
          <w:i/>
        </w:rPr>
        <w:t>un</w:t>
      </w:r>
      <w:proofErr w:type="gramEnd"/>
      <w:r w:rsidRPr="00153A4F">
        <w:rPr>
          <w:i/>
        </w:rPr>
        <w:t xml:space="preserve"> TAC </w:t>
      </w:r>
      <w:proofErr w:type="spellStart"/>
      <w:r w:rsidRPr="00153A4F">
        <w:rPr>
          <w:i/>
        </w:rPr>
        <w:t>agrupado</w:t>
      </w:r>
      <w:proofErr w:type="spellEnd"/>
      <w:r w:rsidRPr="00153A4F">
        <w:rPr>
          <w:i/>
        </w:rPr>
        <w:t xml:space="preserve">, </w:t>
      </w:r>
      <w:proofErr w:type="spellStart"/>
      <w:r w:rsidRPr="00153A4F">
        <w:rPr>
          <w:i/>
        </w:rPr>
        <w:t>en</w:t>
      </w:r>
      <w:proofErr w:type="spellEnd"/>
      <w:r w:rsidRPr="00153A4F">
        <w:rPr>
          <w:i/>
        </w:rPr>
        <w:t xml:space="preserve"> ese </w:t>
      </w:r>
      <w:proofErr w:type="spellStart"/>
      <w:r w:rsidRPr="00153A4F">
        <w:rPr>
          <w:i/>
        </w:rPr>
        <w:t>caso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habrá</w:t>
      </w:r>
      <w:proofErr w:type="spellEnd"/>
      <w:r w:rsidRPr="00153A4F">
        <w:rPr>
          <w:i/>
        </w:rPr>
        <w:t xml:space="preserve"> que </w:t>
      </w:r>
      <w:proofErr w:type="spellStart"/>
      <w:r w:rsidRPr="00153A4F">
        <w:rPr>
          <w:i/>
        </w:rPr>
        <w:t>aplicar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una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reducción</w:t>
      </w:r>
      <w:proofErr w:type="spellEnd"/>
      <w:r w:rsidRPr="00153A4F">
        <w:rPr>
          <w:i/>
        </w:rPr>
        <w:t xml:space="preserve"> global para </w:t>
      </w:r>
      <w:proofErr w:type="spellStart"/>
      <w:r w:rsidRPr="00153A4F">
        <w:rPr>
          <w:i/>
        </w:rPr>
        <w:t>intentar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reconstruir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dichas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especies</w:t>
      </w:r>
      <w:proofErr w:type="spellEnd"/>
      <w:r w:rsidRPr="00153A4F">
        <w:rPr>
          <w:i/>
        </w:rPr>
        <w:t xml:space="preserve"> </w:t>
      </w:r>
      <w:proofErr w:type="spellStart"/>
      <w:r w:rsidRPr="00153A4F">
        <w:rPr>
          <w:i/>
        </w:rPr>
        <w:t>tal</w:t>
      </w:r>
      <w:proofErr w:type="spellEnd"/>
      <w:r w:rsidRPr="00153A4F">
        <w:rPr>
          <w:i/>
        </w:rPr>
        <w:t xml:space="preserve"> y </w:t>
      </w:r>
      <w:proofErr w:type="spellStart"/>
      <w:r w:rsidRPr="00153A4F">
        <w:rPr>
          <w:i/>
        </w:rPr>
        <w:t>como</w:t>
      </w:r>
      <w:proofErr w:type="spellEnd"/>
      <w:r w:rsidRPr="00153A4F">
        <w:rPr>
          <w:i/>
        </w:rPr>
        <w:t xml:space="preserve"> lo </w:t>
      </w:r>
      <w:proofErr w:type="spellStart"/>
      <w:r w:rsidRPr="00153A4F">
        <w:rPr>
          <w:i/>
        </w:rPr>
        <w:t>exige</w:t>
      </w:r>
      <w:proofErr w:type="spellEnd"/>
      <w:r w:rsidRPr="00153A4F">
        <w:rPr>
          <w:i/>
        </w:rPr>
        <w:t xml:space="preserve"> el RMS y el </w:t>
      </w:r>
      <w:proofErr w:type="spellStart"/>
      <w:r w:rsidRPr="00153A4F">
        <w:rPr>
          <w:i/>
        </w:rPr>
        <w:t>enfoque</w:t>
      </w:r>
      <w:proofErr w:type="spellEnd"/>
      <w:r w:rsidRPr="00153A4F">
        <w:rPr>
          <w:i/>
        </w:rPr>
        <w:t xml:space="preserve"> de </w:t>
      </w:r>
      <w:proofErr w:type="spellStart"/>
      <w:r w:rsidRPr="00153A4F">
        <w:rPr>
          <w:i/>
        </w:rPr>
        <w:t>precaución</w:t>
      </w:r>
      <w:proofErr w:type="spellEnd"/>
      <w:r w:rsidRPr="00153A4F">
        <w:rPr>
          <w:i/>
        </w:rPr>
        <w:t>.</w:t>
      </w:r>
    </w:p>
    <w:sectPr w:rsidR="00153A4F" w:rsidRPr="00153A4F" w:rsidSect="003D0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58" w:rsidRDefault="00C43558" w:rsidP="001C1D46">
      <w:r>
        <w:separator/>
      </w:r>
    </w:p>
  </w:endnote>
  <w:endnote w:type="continuationSeparator" w:id="0">
    <w:p w:rsidR="00C43558" w:rsidRDefault="00C43558" w:rsidP="001C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5F" w:rsidRPr="00AF3CFD" w:rsidRDefault="00AF3CFD" w:rsidP="00AF3CFD">
    <w:pPr>
      <w:pStyle w:val="Footer"/>
      <w:jc w:val="center"/>
    </w:pPr>
    <w:proofErr w:type="spellStart"/>
    <w:r>
      <w:rPr>
        <w:sz w:val="16"/>
        <w:szCs w:val="12"/>
        <w:lang w:val="fr-FR"/>
      </w:rPr>
      <w:t>Proyecto</w:t>
    </w:r>
    <w:proofErr w:type="spellEnd"/>
    <w:r>
      <w:rPr>
        <w:sz w:val="16"/>
        <w:szCs w:val="12"/>
        <w:lang w:val="fr-FR"/>
      </w:rPr>
      <w:t xml:space="preserve"> </w:t>
    </w:r>
    <w:proofErr w:type="spellStart"/>
    <w:r>
      <w:rPr>
        <w:sz w:val="16"/>
        <w:szCs w:val="12"/>
        <w:lang w:val="fr-FR"/>
      </w:rPr>
      <w:t>del</w:t>
    </w:r>
    <w:proofErr w:type="spellEnd"/>
    <w:r>
      <w:rPr>
        <w:sz w:val="16"/>
        <w:szCs w:val="12"/>
        <w:lang w:val="fr-FR"/>
      </w:rPr>
      <w:t xml:space="preserve"> </w:t>
    </w:r>
    <w:proofErr w:type="spellStart"/>
    <w:r>
      <w:rPr>
        <w:sz w:val="16"/>
        <w:szCs w:val="12"/>
        <w:lang w:val="fr-FR"/>
      </w:rPr>
      <w:t>c</w:t>
    </w:r>
    <w:r w:rsidRPr="00AF3CFD">
      <w:rPr>
        <w:sz w:val="16"/>
        <w:szCs w:val="12"/>
        <w:lang w:val="fr-FR"/>
      </w:rPr>
      <w:t>ontribución</w:t>
    </w:r>
    <w:proofErr w:type="spellEnd"/>
    <w:r w:rsidRPr="00AF3CFD">
      <w:rPr>
        <w:sz w:val="16"/>
        <w:szCs w:val="12"/>
        <w:lang w:val="fr-FR"/>
      </w:rPr>
      <w:t xml:space="preserve"> </w:t>
    </w:r>
    <w:proofErr w:type="spellStart"/>
    <w:r>
      <w:rPr>
        <w:sz w:val="16"/>
        <w:szCs w:val="12"/>
        <w:lang w:val="fr-FR"/>
      </w:rPr>
      <w:t>del</w:t>
    </w:r>
    <w:proofErr w:type="spellEnd"/>
    <w:r>
      <w:rPr>
        <w:sz w:val="16"/>
        <w:szCs w:val="12"/>
        <w:lang w:val="fr-FR"/>
      </w:rPr>
      <w:t xml:space="preserve"> CC-ANOC </w:t>
    </w:r>
    <w:r w:rsidRPr="00AF3CFD">
      <w:rPr>
        <w:sz w:val="16"/>
        <w:szCs w:val="12"/>
        <w:lang w:val="fr-FR"/>
      </w:rPr>
      <w:t xml:space="preserve">para </w:t>
    </w:r>
    <w:proofErr w:type="spellStart"/>
    <w:r w:rsidRPr="00AF3CFD">
      <w:rPr>
        <w:sz w:val="16"/>
        <w:szCs w:val="12"/>
        <w:lang w:val="fr-FR"/>
      </w:rPr>
      <w:t>cumplir</w:t>
    </w:r>
    <w:proofErr w:type="spellEnd"/>
    <w:r w:rsidRPr="00AF3CFD">
      <w:rPr>
        <w:sz w:val="16"/>
        <w:szCs w:val="12"/>
        <w:lang w:val="fr-FR"/>
      </w:rPr>
      <w:t xml:space="preserve"> con la </w:t>
    </w:r>
    <w:proofErr w:type="spellStart"/>
    <w:r w:rsidRPr="00AF3CFD">
      <w:rPr>
        <w:sz w:val="16"/>
        <w:szCs w:val="12"/>
        <w:lang w:val="fr-FR"/>
      </w:rPr>
      <w:t>Comunicación</w:t>
    </w:r>
    <w:proofErr w:type="spellEnd"/>
    <w:r w:rsidRPr="00AF3CFD">
      <w:rPr>
        <w:sz w:val="16"/>
        <w:szCs w:val="12"/>
        <w:lang w:val="fr-FR"/>
      </w:rPr>
      <w:t xml:space="preserve"> de la CE sobre </w:t>
    </w:r>
    <w:proofErr w:type="spellStart"/>
    <w:r w:rsidRPr="00AF3CFD">
      <w:rPr>
        <w:sz w:val="16"/>
        <w:szCs w:val="12"/>
        <w:lang w:val="fr-FR"/>
      </w:rPr>
      <w:t>posibilidades</w:t>
    </w:r>
    <w:proofErr w:type="spellEnd"/>
    <w:r w:rsidRPr="00AF3CFD">
      <w:rPr>
        <w:sz w:val="16"/>
        <w:szCs w:val="12"/>
        <w:lang w:val="fr-FR"/>
      </w:rPr>
      <w:t xml:space="preserve"> de </w:t>
    </w:r>
    <w:proofErr w:type="spellStart"/>
    <w:r w:rsidRPr="00AF3CFD">
      <w:rPr>
        <w:sz w:val="16"/>
        <w:szCs w:val="12"/>
        <w:lang w:val="fr-FR"/>
      </w:rPr>
      <w:t>pesca</w:t>
    </w:r>
    <w:proofErr w:type="spellEnd"/>
    <w:r w:rsidRPr="00AF3CFD">
      <w:rPr>
        <w:sz w:val="16"/>
        <w:szCs w:val="12"/>
        <w:lang w:val="fr-FR"/>
      </w:rPr>
      <w:t xml:space="preserve"> para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58" w:rsidRDefault="00C43558" w:rsidP="001C1D46">
      <w:r>
        <w:separator/>
      </w:r>
    </w:p>
  </w:footnote>
  <w:footnote w:type="continuationSeparator" w:id="0">
    <w:p w:rsidR="00C43558" w:rsidRDefault="00C43558" w:rsidP="001C1D46">
      <w:r>
        <w:continuationSeparator/>
      </w:r>
    </w:p>
  </w:footnote>
  <w:footnote w:id="1">
    <w:p w:rsidR="00A8525F" w:rsidRPr="0019087F" w:rsidRDefault="00A8525F">
      <w:pPr>
        <w:pStyle w:val="FootnoteText"/>
        <w:rPr>
          <w:lang w:val="es-ES"/>
        </w:rPr>
      </w:pPr>
      <w:r w:rsidRPr="0019087F">
        <w:rPr>
          <w:rStyle w:val="FootnoteReference"/>
          <w:lang w:val="es-ES"/>
        </w:rPr>
        <w:footnoteRef/>
      </w:r>
      <w:r w:rsidRPr="0019087F">
        <w:rPr>
          <w:lang w:val="es-ES"/>
        </w:rPr>
        <w:t xml:space="preserve">  </w:t>
      </w:r>
      <w:r w:rsidR="0019087F" w:rsidRPr="0019087F">
        <w:rPr>
          <w:lang w:val="es-ES"/>
        </w:rPr>
        <w:t xml:space="preserve">Y el </w:t>
      </w:r>
      <w:hyperlink r:id="rId1" w:history="1">
        <w:r w:rsidR="00936E88" w:rsidRPr="0019087F">
          <w:rPr>
            <w:rStyle w:val="Hyperlink"/>
            <w:lang w:val="es-ES"/>
          </w:rPr>
          <w:t>Document</w:t>
        </w:r>
        <w:r w:rsidR="0019087F" w:rsidRPr="0019087F">
          <w:rPr>
            <w:rStyle w:val="Hyperlink"/>
            <w:lang w:val="es-ES"/>
          </w:rPr>
          <w:t xml:space="preserve">o de trabajo de los servicios de la Comisión </w:t>
        </w:r>
      </w:hyperlink>
      <w:r w:rsidRPr="0019087F">
        <w:rPr>
          <w:lang w:val="es-ES"/>
        </w:rPr>
        <w:t xml:space="preserve"> </w:t>
      </w:r>
      <w:r w:rsidR="00A970F7" w:rsidRPr="0019087F">
        <w:rPr>
          <w:lang w:val="es-ES"/>
        </w:rPr>
        <w:t xml:space="preserve"> </w:t>
      </w:r>
      <w:r w:rsidR="0019087F" w:rsidRPr="0019087F">
        <w:rPr>
          <w:lang w:val="es-ES"/>
        </w:rPr>
        <w:t>adjunto</w:t>
      </w:r>
      <w:r w:rsidR="00A970F7" w:rsidRPr="0019087F">
        <w:rPr>
          <w:lang w:val="es-ES"/>
        </w:rPr>
        <w:t xml:space="preserve"> </w:t>
      </w:r>
      <w:r w:rsidRPr="0019087F">
        <w:rPr>
          <w:lang w:val="es-ES"/>
        </w:rPr>
        <w:t>(</w:t>
      </w:r>
      <w:r w:rsidR="0019087F">
        <w:rPr>
          <w:lang w:val="es-ES"/>
        </w:rPr>
        <w:t>ú</w:t>
      </w:r>
      <w:r w:rsidR="00A970F7" w:rsidRPr="0019087F">
        <w:rPr>
          <w:lang w:val="es-ES"/>
        </w:rPr>
        <w:t>ni</w:t>
      </w:r>
      <w:r w:rsidR="0019087F" w:rsidRPr="0019087F">
        <w:rPr>
          <w:lang w:val="es-ES"/>
        </w:rPr>
        <w:t>camente en inglés</w:t>
      </w:r>
      <w:r w:rsidRPr="0019087F">
        <w:rPr>
          <w:lang w:val="es-ES"/>
        </w:rPr>
        <w:t>)</w:t>
      </w:r>
    </w:p>
  </w:footnote>
  <w:footnote w:id="2">
    <w:p w:rsidR="00D54274" w:rsidRPr="00D54274" w:rsidRDefault="00D54274" w:rsidP="00D54274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 </w:t>
      </w:r>
      <w:proofErr w:type="spellStart"/>
      <w:r>
        <w:rPr>
          <w:lang w:val="en-IE"/>
        </w:rPr>
        <w:t>P</w:t>
      </w:r>
      <w:r w:rsidRPr="00D54274">
        <w:rPr>
          <w:lang w:val="en-IE"/>
        </w:rPr>
        <w:t>or</w:t>
      </w:r>
      <w:proofErr w:type="spellEnd"/>
      <w:r w:rsidRPr="00D54274">
        <w:rPr>
          <w:lang w:val="en-IE"/>
        </w:rPr>
        <w:t xml:space="preserve"> </w:t>
      </w:r>
      <w:proofErr w:type="spellStart"/>
      <w:r w:rsidRPr="00D54274">
        <w:rPr>
          <w:lang w:val="en-IE"/>
        </w:rPr>
        <w:t>ejemplo,</w:t>
      </w:r>
      <w:r w:rsidR="00E527F1">
        <w:rPr>
          <w:lang w:val="en-IE"/>
        </w:rPr>
        <w:t>la</w:t>
      </w:r>
      <w:proofErr w:type="spellEnd"/>
      <w:r w:rsidR="00E527F1">
        <w:rPr>
          <w:lang w:val="en-IE"/>
        </w:rPr>
        <w:t xml:space="preserve"> </w:t>
      </w:r>
      <w:r>
        <w:rPr>
          <w:lang w:val="en-IE"/>
        </w:rPr>
        <w:t xml:space="preserve"> </w:t>
      </w:r>
      <w:hyperlink r:id="rId2" w:history="1">
        <w:proofErr w:type="spellStart"/>
        <w:r w:rsidRPr="00D54274">
          <w:rPr>
            <w:rStyle w:val="Hyperlink"/>
            <w:lang w:val="en-IE"/>
          </w:rPr>
          <w:t>Respuesta</w:t>
        </w:r>
        <w:proofErr w:type="spellEnd"/>
        <w:r w:rsidRPr="00D54274">
          <w:rPr>
            <w:rStyle w:val="Hyperlink"/>
            <w:lang w:val="en-IE"/>
          </w:rPr>
          <w:t xml:space="preserve"> a la </w:t>
        </w:r>
        <w:proofErr w:type="spellStart"/>
        <w:r w:rsidRPr="00D54274">
          <w:rPr>
            <w:rStyle w:val="Hyperlink"/>
            <w:lang w:val="en-IE"/>
          </w:rPr>
          <w:t>Comunicación</w:t>
        </w:r>
        <w:proofErr w:type="spellEnd"/>
        <w:r w:rsidRPr="00D54274">
          <w:rPr>
            <w:rStyle w:val="Hyperlink"/>
            <w:lang w:val="en-IE"/>
          </w:rPr>
          <w:t xml:space="preserve"> de la CE </w:t>
        </w:r>
        <w:proofErr w:type="spellStart"/>
        <w:r w:rsidRPr="00D54274">
          <w:rPr>
            <w:rStyle w:val="Hyperlink"/>
            <w:lang w:val="en-IE"/>
          </w:rPr>
          <w:t>sobre</w:t>
        </w:r>
        <w:proofErr w:type="spellEnd"/>
        <w:r w:rsidRPr="00D54274">
          <w:rPr>
            <w:rStyle w:val="Hyperlink"/>
            <w:lang w:val="en-IE"/>
          </w:rPr>
          <w:t xml:space="preserve"> las </w:t>
        </w:r>
        <w:proofErr w:type="spellStart"/>
        <w:r w:rsidRPr="00D54274">
          <w:rPr>
            <w:rStyle w:val="Hyperlink"/>
            <w:lang w:val="en-IE"/>
          </w:rPr>
          <w:t>posibilidades</w:t>
        </w:r>
        <w:proofErr w:type="spellEnd"/>
        <w:r w:rsidRPr="00D54274">
          <w:rPr>
            <w:rStyle w:val="Hyperlink"/>
            <w:lang w:val="en-IE"/>
          </w:rPr>
          <w:t xml:space="preserve"> de </w:t>
        </w:r>
        <w:proofErr w:type="spellStart"/>
        <w:r w:rsidRPr="00D54274">
          <w:rPr>
            <w:rStyle w:val="Hyperlink"/>
            <w:lang w:val="en-IE"/>
          </w:rPr>
          <w:t>pesca</w:t>
        </w:r>
        <w:proofErr w:type="spellEnd"/>
        <w:r w:rsidRPr="00D54274">
          <w:rPr>
            <w:rStyle w:val="Hyperlink"/>
            <w:lang w:val="en-IE"/>
          </w:rPr>
          <w:t xml:space="preserve"> para 2016</w:t>
        </w:r>
      </w:hyperlink>
      <w:r>
        <w:rPr>
          <w:lang w:val="en-IE"/>
        </w:rPr>
        <w:t xml:space="preserve"> y l</w:t>
      </w:r>
      <w:r w:rsidR="00E527F1">
        <w:rPr>
          <w:lang w:val="en-IE"/>
        </w:rPr>
        <w:t>a</w:t>
      </w:r>
      <w:r>
        <w:rPr>
          <w:lang w:val="en-IE"/>
        </w:rPr>
        <w:t xml:space="preserve"> </w:t>
      </w:r>
      <w:hyperlink r:id="rId3" w:history="1">
        <w:proofErr w:type="spellStart"/>
        <w:r w:rsidRPr="00D54274">
          <w:rPr>
            <w:rStyle w:val="Hyperlink"/>
            <w:lang w:val="en-IE"/>
          </w:rPr>
          <w:t>Respuesta</w:t>
        </w:r>
        <w:proofErr w:type="spellEnd"/>
        <w:r w:rsidRPr="00D54274">
          <w:rPr>
            <w:rStyle w:val="Hyperlink"/>
            <w:lang w:val="en-IE"/>
          </w:rPr>
          <w:t xml:space="preserve"> del CC-ANOC a la </w:t>
        </w:r>
        <w:proofErr w:type="spellStart"/>
        <w:r w:rsidRPr="00D54274">
          <w:rPr>
            <w:rStyle w:val="Hyperlink"/>
            <w:lang w:val="en-IE"/>
          </w:rPr>
          <w:t>propuesta</w:t>
        </w:r>
        <w:proofErr w:type="spellEnd"/>
        <w:r w:rsidRPr="00D54274">
          <w:rPr>
            <w:rStyle w:val="Hyperlink"/>
            <w:lang w:val="en-IE"/>
          </w:rPr>
          <w:t xml:space="preserve"> de la CE </w:t>
        </w:r>
        <w:proofErr w:type="spellStart"/>
        <w:r w:rsidR="00E527F1">
          <w:rPr>
            <w:rStyle w:val="Hyperlink"/>
            <w:lang w:val="en-IE"/>
          </w:rPr>
          <w:t>sobre</w:t>
        </w:r>
        <w:proofErr w:type="spellEnd"/>
        <w:r>
          <w:rPr>
            <w:rStyle w:val="Hyperlink"/>
            <w:lang w:val="en-IE"/>
          </w:rPr>
          <w:t xml:space="preserve"> TACs, 8 </w:t>
        </w:r>
        <w:proofErr w:type="spellStart"/>
        <w:r>
          <w:rPr>
            <w:rStyle w:val="Hyperlink"/>
            <w:lang w:val="en-IE"/>
          </w:rPr>
          <w:t>diciembre</w:t>
        </w:r>
        <w:proofErr w:type="spellEnd"/>
        <w:r>
          <w:rPr>
            <w:rStyle w:val="Hyperlink"/>
            <w:lang w:val="en-IE"/>
          </w:rPr>
          <w:t xml:space="preserve"> 2015</w:t>
        </w:r>
      </w:hyperlink>
    </w:p>
    <w:p w:rsidR="00D54274" w:rsidRPr="00D54274" w:rsidRDefault="00D54274">
      <w:pPr>
        <w:pStyle w:val="FootnoteText"/>
        <w:rPr>
          <w:lang w:val="en-IE"/>
        </w:rPr>
      </w:pPr>
    </w:p>
  </w:footnote>
  <w:footnote w:id="3">
    <w:p w:rsidR="00153A4F" w:rsidRPr="00153A4F" w:rsidRDefault="00153A4F" w:rsidP="00153A4F">
      <w:pPr>
        <w:pStyle w:val="FootnoteText"/>
        <w:rPr>
          <w:lang w:val="es-ES"/>
        </w:rPr>
      </w:pPr>
      <w:r w:rsidRPr="00153A4F">
        <w:rPr>
          <w:rStyle w:val="FootnoteReference"/>
          <w:lang w:val="es-ES"/>
        </w:rPr>
        <w:footnoteRef/>
      </w:r>
      <w:r w:rsidRPr="00153A4F">
        <w:rPr>
          <w:lang w:val="es-ES"/>
        </w:rPr>
        <w:t xml:space="preserve"> Sección 5 del </w:t>
      </w:r>
      <w:hyperlink r:id="rId4" w:history="1">
        <w:r w:rsidRPr="00153A4F">
          <w:rPr>
            <w:rStyle w:val="Hyperlink"/>
            <w:lang w:val="es-ES"/>
          </w:rPr>
          <w:t>Respues</w:t>
        </w:r>
        <w:r w:rsidRPr="00153A4F">
          <w:rPr>
            <w:rStyle w:val="Hyperlink"/>
            <w:lang w:val="es-ES"/>
          </w:rPr>
          <w:t>t</w:t>
        </w:r>
        <w:r w:rsidRPr="00153A4F">
          <w:rPr>
            <w:rStyle w:val="Hyperlink"/>
            <w:lang w:val="es-ES"/>
          </w:rPr>
          <w:t xml:space="preserve">a del CC-ANOC a la propuesta de la CE sobre </w:t>
        </w:r>
        <w:proofErr w:type="spellStart"/>
        <w:r w:rsidRPr="00153A4F">
          <w:rPr>
            <w:rStyle w:val="Hyperlink"/>
            <w:lang w:val="es-ES"/>
          </w:rPr>
          <w:t>TACs</w:t>
        </w:r>
        <w:proofErr w:type="spellEnd"/>
        <w:r w:rsidRPr="00153A4F">
          <w:rPr>
            <w:rStyle w:val="Hyperlink"/>
            <w:lang w:val="es-ES"/>
          </w:rPr>
          <w:t>, 8 diciembre 2015</w:t>
        </w:r>
      </w:hyperlink>
    </w:p>
    <w:p w:rsidR="00153A4F" w:rsidRPr="00153A4F" w:rsidRDefault="00153A4F">
      <w:pPr>
        <w:pStyle w:val="FootnoteText"/>
        <w:rPr>
          <w:lang w:val="en-I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3D"/>
    <w:multiLevelType w:val="hybridMultilevel"/>
    <w:tmpl w:val="D0E20B3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EBC"/>
    <w:multiLevelType w:val="hybridMultilevel"/>
    <w:tmpl w:val="13FAA5E0"/>
    <w:lvl w:ilvl="0" w:tplc="A7A87D72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F4326D"/>
    <w:multiLevelType w:val="hybridMultilevel"/>
    <w:tmpl w:val="57BE8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7784"/>
    <w:multiLevelType w:val="hybridMultilevel"/>
    <w:tmpl w:val="1AF200EA"/>
    <w:lvl w:ilvl="0" w:tplc="16D2EDD2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B67E7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0724"/>
    <w:multiLevelType w:val="hybridMultilevel"/>
    <w:tmpl w:val="2D7EC04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F23BC"/>
    <w:multiLevelType w:val="hybridMultilevel"/>
    <w:tmpl w:val="9B92C6A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70F05"/>
    <w:multiLevelType w:val="hybridMultilevel"/>
    <w:tmpl w:val="E24874D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B703D"/>
    <w:multiLevelType w:val="hybridMultilevel"/>
    <w:tmpl w:val="147EA33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35C28"/>
    <w:multiLevelType w:val="hybridMultilevel"/>
    <w:tmpl w:val="7E7A9D1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C5F24"/>
    <w:multiLevelType w:val="hybridMultilevel"/>
    <w:tmpl w:val="7E64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9383B"/>
    <w:multiLevelType w:val="hybridMultilevel"/>
    <w:tmpl w:val="CF0C947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B1D22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E646CF"/>
    <w:multiLevelType w:val="hybridMultilevel"/>
    <w:tmpl w:val="5B1A9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54B86"/>
    <w:multiLevelType w:val="hybridMultilevel"/>
    <w:tmpl w:val="53E62B90"/>
    <w:lvl w:ilvl="0" w:tplc="CDCE0424">
      <w:start w:val="1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32591F"/>
    <w:multiLevelType w:val="hybridMultilevel"/>
    <w:tmpl w:val="9DF0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25B52"/>
    <w:multiLevelType w:val="hybridMultilevel"/>
    <w:tmpl w:val="F814A924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FB6A2E"/>
    <w:multiLevelType w:val="multilevel"/>
    <w:tmpl w:val="60AA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E012E9"/>
    <w:multiLevelType w:val="hybridMultilevel"/>
    <w:tmpl w:val="54FE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F80615"/>
    <w:multiLevelType w:val="hybridMultilevel"/>
    <w:tmpl w:val="EBA491E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0">
    <w:nsid w:val="378D6667"/>
    <w:multiLevelType w:val="hybridMultilevel"/>
    <w:tmpl w:val="24FC473E"/>
    <w:lvl w:ilvl="0" w:tplc="0E80BA3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F037A"/>
    <w:multiLevelType w:val="hybridMultilevel"/>
    <w:tmpl w:val="0CE62052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C48FE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5D566F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A22799"/>
    <w:multiLevelType w:val="hybridMultilevel"/>
    <w:tmpl w:val="BDE803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0042E"/>
    <w:multiLevelType w:val="hybridMultilevel"/>
    <w:tmpl w:val="F6DC145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E4C7C"/>
    <w:multiLevelType w:val="hybridMultilevel"/>
    <w:tmpl w:val="F7BEFF0E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>
    <w:nsid w:val="473F08FD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81504BB"/>
    <w:multiLevelType w:val="hybridMultilevel"/>
    <w:tmpl w:val="46D240E2"/>
    <w:lvl w:ilvl="0" w:tplc="2F9CEA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A7BCE"/>
    <w:multiLevelType w:val="hybridMultilevel"/>
    <w:tmpl w:val="EDAA1ACA"/>
    <w:lvl w:ilvl="0" w:tplc="1940012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D52FA"/>
    <w:multiLevelType w:val="hybridMultilevel"/>
    <w:tmpl w:val="1BBECCF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>
    <w:nsid w:val="55AD0FD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6BE0D22"/>
    <w:multiLevelType w:val="hybridMultilevel"/>
    <w:tmpl w:val="0FEE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C3A60"/>
    <w:multiLevelType w:val="hybridMultilevel"/>
    <w:tmpl w:val="886E78A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49250E"/>
    <w:multiLevelType w:val="hybridMultilevel"/>
    <w:tmpl w:val="6AA23A0E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D6FAC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12B23"/>
    <w:multiLevelType w:val="hybridMultilevel"/>
    <w:tmpl w:val="BCC8C68A"/>
    <w:lvl w:ilvl="0" w:tplc="4F4EEA86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BB1F28"/>
    <w:multiLevelType w:val="hybridMultilevel"/>
    <w:tmpl w:val="DB6A07DA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42C17"/>
    <w:multiLevelType w:val="hybridMultilevel"/>
    <w:tmpl w:val="0990400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9">
    <w:nsid w:val="6E0340B6"/>
    <w:multiLevelType w:val="hybridMultilevel"/>
    <w:tmpl w:val="1C1258A6"/>
    <w:lvl w:ilvl="0" w:tplc="67E06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A3835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C05EC"/>
    <w:multiLevelType w:val="hybridMultilevel"/>
    <w:tmpl w:val="D530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37"/>
  </w:num>
  <w:num w:numId="4">
    <w:abstractNumId w:val="13"/>
  </w:num>
  <w:num w:numId="5">
    <w:abstractNumId w:val="2"/>
  </w:num>
  <w:num w:numId="6">
    <w:abstractNumId w:val="18"/>
  </w:num>
  <w:num w:numId="7">
    <w:abstractNumId w:val="6"/>
  </w:num>
  <w:num w:numId="8">
    <w:abstractNumId w:val="39"/>
  </w:num>
  <w:num w:numId="9">
    <w:abstractNumId w:val="31"/>
  </w:num>
  <w:num w:numId="10">
    <w:abstractNumId w:val="29"/>
  </w:num>
  <w:num w:numId="11">
    <w:abstractNumId w:val="14"/>
  </w:num>
  <w:num w:numId="12">
    <w:abstractNumId w:val="38"/>
  </w:num>
  <w:num w:numId="13">
    <w:abstractNumId w:val="19"/>
  </w:num>
  <w:num w:numId="14">
    <w:abstractNumId w:val="15"/>
  </w:num>
  <w:num w:numId="15">
    <w:abstractNumId w:val="30"/>
  </w:num>
  <w:num w:numId="16">
    <w:abstractNumId w:val="26"/>
  </w:num>
  <w:num w:numId="17">
    <w:abstractNumId w:val="34"/>
  </w:num>
  <w:num w:numId="18">
    <w:abstractNumId w:val="25"/>
  </w:num>
  <w:num w:numId="19">
    <w:abstractNumId w:val="5"/>
  </w:num>
  <w:num w:numId="20">
    <w:abstractNumId w:val="7"/>
  </w:num>
  <w:num w:numId="21">
    <w:abstractNumId w:val="8"/>
  </w:num>
  <w:num w:numId="22">
    <w:abstractNumId w:val="11"/>
  </w:num>
  <w:num w:numId="23">
    <w:abstractNumId w:val="33"/>
  </w:num>
  <w:num w:numId="24">
    <w:abstractNumId w:val="20"/>
  </w:num>
  <w:num w:numId="25">
    <w:abstractNumId w:val="27"/>
  </w:num>
  <w:num w:numId="26">
    <w:abstractNumId w:val="32"/>
  </w:num>
  <w:num w:numId="27">
    <w:abstractNumId w:val="22"/>
  </w:num>
  <w:num w:numId="28">
    <w:abstractNumId w:val="24"/>
  </w:num>
  <w:num w:numId="29">
    <w:abstractNumId w:val="23"/>
  </w:num>
  <w:num w:numId="30">
    <w:abstractNumId w:val="21"/>
  </w:num>
  <w:num w:numId="31">
    <w:abstractNumId w:val="28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2"/>
  </w:num>
  <w:num w:numId="36">
    <w:abstractNumId w:val="1"/>
  </w:num>
  <w:num w:numId="37">
    <w:abstractNumId w:val="36"/>
  </w:num>
  <w:num w:numId="38">
    <w:abstractNumId w:val="4"/>
  </w:num>
  <w:num w:numId="39">
    <w:abstractNumId w:val="0"/>
  </w:num>
  <w:num w:numId="40">
    <w:abstractNumId w:val="35"/>
  </w:num>
  <w:num w:numId="4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ibhlin O'sullivan">
    <w15:presenceInfo w15:providerId="AD" w15:userId="S-1-5-21-4014200922-2071269131-4057983359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23355D"/>
    <w:rsid w:val="00000BBB"/>
    <w:rsid w:val="00041A49"/>
    <w:rsid w:val="00041AE8"/>
    <w:rsid w:val="000523BC"/>
    <w:rsid w:val="00052629"/>
    <w:rsid w:val="000537B5"/>
    <w:rsid w:val="00063EAB"/>
    <w:rsid w:val="0007263C"/>
    <w:rsid w:val="00074C16"/>
    <w:rsid w:val="000877CE"/>
    <w:rsid w:val="00090535"/>
    <w:rsid w:val="000B34BF"/>
    <w:rsid w:val="000B631F"/>
    <w:rsid w:val="000B6F2D"/>
    <w:rsid w:val="000D0F52"/>
    <w:rsid w:val="000E4906"/>
    <w:rsid w:val="000F1CE3"/>
    <w:rsid w:val="000F44E6"/>
    <w:rsid w:val="000F661D"/>
    <w:rsid w:val="0010320D"/>
    <w:rsid w:val="001134D7"/>
    <w:rsid w:val="00133EF3"/>
    <w:rsid w:val="00140F90"/>
    <w:rsid w:val="00153A4F"/>
    <w:rsid w:val="0017326D"/>
    <w:rsid w:val="001766F6"/>
    <w:rsid w:val="00182B2F"/>
    <w:rsid w:val="0018623E"/>
    <w:rsid w:val="0019087F"/>
    <w:rsid w:val="001B1FA2"/>
    <w:rsid w:val="001B3FD1"/>
    <w:rsid w:val="001C176D"/>
    <w:rsid w:val="001C1D46"/>
    <w:rsid w:val="001C50E4"/>
    <w:rsid w:val="001F19F8"/>
    <w:rsid w:val="001F3A26"/>
    <w:rsid w:val="00202D1B"/>
    <w:rsid w:val="00203AE3"/>
    <w:rsid w:val="002178CB"/>
    <w:rsid w:val="00221397"/>
    <w:rsid w:val="00222949"/>
    <w:rsid w:val="0023355D"/>
    <w:rsid w:val="002432DA"/>
    <w:rsid w:val="00251FB3"/>
    <w:rsid w:val="00271A18"/>
    <w:rsid w:val="00273F8C"/>
    <w:rsid w:val="00276AC6"/>
    <w:rsid w:val="0028393F"/>
    <w:rsid w:val="00284650"/>
    <w:rsid w:val="002A29D7"/>
    <w:rsid w:val="002A5F1A"/>
    <w:rsid w:val="002C39A6"/>
    <w:rsid w:val="002C60E0"/>
    <w:rsid w:val="002E0B85"/>
    <w:rsid w:val="002E0D16"/>
    <w:rsid w:val="002E638E"/>
    <w:rsid w:val="002E67A8"/>
    <w:rsid w:val="002E6A93"/>
    <w:rsid w:val="00324F96"/>
    <w:rsid w:val="003519DC"/>
    <w:rsid w:val="0035246E"/>
    <w:rsid w:val="00354507"/>
    <w:rsid w:val="00360A4F"/>
    <w:rsid w:val="003627D2"/>
    <w:rsid w:val="003646C4"/>
    <w:rsid w:val="00370DE1"/>
    <w:rsid w:val="00375071"/>
    <w:rsid w:val="00384634"/>
    <w:rsid w:val="00393F20"/>
    <w:rsid w:val="003A6C8C"/>
    <w:rsid w:val="003B481E"/>
    <w:rsid w:val="003C2352"/>
    <w:rsid w:val="003C4AA3"/>
    <w:rsid w:val="003D0689"/>
    <w:rsid w:val="003D5223"/>
    <w:rsid w:val="003F0040"/>
    <w:rsid w:val="00406A14"/>
    <w:rsid w:val="004139B6"/>
    <w:rsid w:val="0041470C"/>
    <w:rsid w:val="00416439"/>
    <w:rsid w:val="00423157"/>
    <w:rsid w:val="004245EC"/>
    <w:rsid w:val="00426FA4"/>
    <w:rsid w:val="004347A4"/>
    <w:rsid w:val="00444211"/>
    <w:rsid w:val="00451CAB"/>
    <w:rsid w:val="004714C3"/>
    <w:rsid w:val="004931A3"/>
    <w:rsid w:val="004A647B"/>
    <w:rsid w:val="004B3F6B"/>
    <w:rsid w:val="004B6FAC"/>
    <w:rsid w:val="004D626C"/>
    <w:rsid w:val="004E5A3F"/>
    <w:rsid w:val="004E7B13"/>
    <w:rsid w:val="004F2663"/>
    <w:rsid w:val="004F4321"/>
    <w:rsid w:val="005011DC"/>
    <w:rsid w:val="0050153D"/>
    <w:rsid w:val="00510935"/>
    <w:rsid w:val="0051536A"/>
    <w:rsid w:val="00515D3D"/>
    <w:rsid w:val="00515E38"/>
    <w:rsid w:val="005304E1"/>
    <w:rsid w:val="00536B40"/>
    <w:rsid w:val="00537ED6"/>
    <w:rsid w:val="00541E73"/>
    <w:rsid w:val="00542045"/>
    <w:rsid w:val="005441BE"/>
    <w:rsid w:val="0054620E"/>
    <w:rsid w:val="0055635D"/>
    <w:rsid w:val="0056040C"/>
    <w:rsid w:val="00561C35"/>
    <w:rsid w:val="00587E8F"/>
    <w:rsid w:val="005B6F2F"/>
    <w:rsid w:val="005C3AA7"/>
    <w:rsid w:val="005C6FD3"/>
    <w:rsid w:val="005D12AD"/>
    <w:rsid w:val="005D7D2B"/>
    <w:rsid w:val="005E61E1"/>
    <w:rsid w:val="00605648"/>
    <w:rsid w:val="00613927"/>
    <w:rsid w:val="00623AFF"/>
    <w:rsid w:val="0068328D"/>
    <w:rsid w:val="00690B2E"/>
    <w:rsid w:val="006A29C3"/>
    <w:rsid w:val="006A67EE"/>
    <w:rsid w:val="006B54D9"/>
    <w:rsid w:val="006C6C61"/>
    <w:rsid w:val="006D26DF"/>
    <w:rsid w:val="006E4500"/>
    <w:rsid w:val="006E511A"/>
    <w:rsid w:val="006F53C3"/>
    <w:rsid w:val="006F5449"/>
    <w:rsid w:val="006F61B6"/>
    <w:rsid w:val="00704743"/>
    <w:rsid w:val="0072602F"/>
    <w:rsid w:val="007565A5"/>
    <w:rsid w:val="00763A2E"/>
    <w:rsid w:val="007740D0"/>
    <w:rsid w:val="00775FE0"/>
    <w:rsid w:val="007851CD"/>
    <w:rsid w:val="007A4A0E"/>
    <w:rsid w:val="007B7D28"/>
    <w:rsid w:val="007C2EA9"/>
    <w:rsid w:val="007C5748"/>
    <w:rsid w:val="007C7951"/>
    <w:rsid w:val="007D33B4"/>
    <w:rsid w:val="007D5F51"/>
    <w:rsid w:val="007D7838"/>
    <w:rsid w:val="007E2A35"/>
    <w:rsid w:val="007E484A"/>
    <w:rsid w:val="007F224E"/>
    <w:rsid w:val="007F4FAE"/>
    <w:rsid w:val="007F55D8"/>
    <w:rsid w:val="007F693D"/>
    <w:rsid w:val="008168E9"/>
    <w:rsid w:val="00835BA1"/>
    <w:rsid w:val="00852BAA"/>
    <w:rsid w:val="008716A4"/>
    <w:rsid w:val="0088534E"/>
    <w:rsid w:val="00896AEE"/>
    <w:rsid w:val="008A645B"/>
    <w:rsid w:val="008A6CB8"/>
    <w:rsid w:val="008B24C6"/>
    <w:rsid w:val="008B6144"/>
    <w:rsid w:val="008C381B"/>
    <w:rsid w:val="008E2B44"/>
    <w:rsid w:val="008F4F8D"/>
    <w:rsid w:val="009159F0"/>
    <w:rsid w:val="00936E88"/>
    <w:rsid w:val="00944C3F"/>
    <w:rsid w:val="0095142A"/>
    <w:rsid w:val="00957C28"/>
    <w:rsid w:val="0096598B"/>
    <w:rsid w:val="0097593B"/>
    <w:rsid w:val="009842E5"/>
    <w:rsid w:val="009A1D90"/>
    <w:rsid w:val="009A5228"/>
    <w:rsid w:val="009B5AE3"/>
    <w:rsid w:val="009C107D"/>
    <w:rsid w:val="009D10C8"/>
    <w:rsid w:val="009E7B35"/>
    <w:rsid w:val="009F2879"/>
    <w:rsid w:val="009F4521"/>
    <w:rsid w:val="009F5E49"/>
    <w:rsid w:val="00A03609"/>
    <w:rsid w:val="00A05328"/>
    <w:rsid w:val="00A170F5"/>
    <w:rsid w:val="00A23E74"/>
    <w:rsid w:val="00A34790"/>
    <w:rsid w:val="00A35005"/>
    <w:rsid w:val="00A71D7B"/>
    <w:rsid w:val="00A8238D"/>
    <w:rsid w:val="00A84B0D"/>
    <w:rsid w:val="00A8525F"/>
    <w:rsid w:val="00A87BD8"/>
    <w:rsid w:val="00A970F7"/>
    <w:rsid w:val="00AB33D5"/>
    <w:rsid w:val="00AB48D4"/>
    <w:rsid w:val="00AB6487"/>
    <w:rsid w:val="00AD622C"/>
    <w:rsid w:val="00AE51B7"/>
    <w:rsid w:val="00AF3CFD"/>
    <w:rsid w:val="00B37017"/>
    <w:rsid w:val="00B41AC5"/>
    <w:rsid w:val="00B434EA"/>
    <w:rsid w:val="00B5447B"/>
    <w:rsid w:val="00B60E95"/>
    <w:rsid w:val="00B64E0D"/>
    <w:rsid w:val="00B74DBC"/>
    <w:rsid w:val="00B77C40"/>
    <w:rsid w:val="00BA24BF"/>
    <w:rsid w:val="00BB2AC3"/>
    <w:rsid w:val="00BC23A7"/>
    <w:rsid w:val="00BE5CE6"/>
    <w:rsid w:val="00BE61FF"/>
    <w:rsid w:val="00C038A3"/>
    <w:rsid w:val="00C05A3F"/>
    <w:rsid w:val="00C22061"/>
    <w:rsid w:val="00C248A3"/>
    <w:rsid w:val="00C25B96"/>
    <w:rsid w:val="00C26AEB"/>
    <w:rsid w:val="00C43558"/>
    <w:rsid w:val="00C45326"/>
    <w:rsid w:val="00C46DC7"/>
    <w:rsid w:val="00C56D79"/>
    <w:rsid w:val="00C95195"/>
    <w:rsid w:val="00C97F87"/>
    <w:rsid w:val="00CA32AE"/>
    <w:rsid w:val="00CA3DAA"/>
    <w:rsid w:val="00CA57D7"/>
    <w:rsid w:val="00CA67A2"/>
    <w:rsid w:val="00CB2C22"/>
    <w:rsid w:val="00CC0551"/>
    <w:rsid w:val="00CC3C83"/>
    <w:rsid w:val="00CD2C8C"/>
    <w:rsid w:val="00CD6675"/>
    <w:rsid w:val="00CE30C8"/>
    <w:rsid w:val="00CE7EA6"/>
    <w:rsid w:val="00D2041A"/>
    <w:rsid w:val="00D21447"/>
    <w:rsid w:val="00D21C37"/>
    <w:rsid w:val="00D413AA"/>
    <w:rsid w:val="00D46C26"/>
    <w:rsid w:val="00D50BD2"/>
    <w:rsid w:val="00D54274"/>
    <w:rsid w:val="00D73BDF"/>
    <w:rsid w:val="00D76252"/>
    <w:rsid w:val="00D91B68"/>
    <w:rsid w:val="00D9435D"/>
    <w:rsid w:val="00D97F54"/>
    <w:rsid w:val="00DA4BDC"/>
    <w:rsid w:val="00DA647A"/>
    <w:rsid w:val="00DB1344"/>
    <w:rsid w:val="00DB784C"/>
    <w:rsid w:val="00DD62A0"/>
    <w:rsid w:val="00DD6748"/>
    <w:rsid w:val="00DD7859"/>
    <w:rsid w:val="00DD7D45"/>
    <w:rsid w:val="00E05E43"/>
    <w:rsid w:val="00E12327"/>
    <w:rsid w:val="00E527F1"/>
    <w:rsid w:val="00E537B9"/>
    <w:rsid w:val="00E618EE"/>
    <w:rsid w:val="00E71741"/>
    <w:rsid w:val="00E720FE"/>
    <w:rsid w:val="00E87E94"/>
    <w:rsid w:val="00EB7978"/>
    <w:rsid w:val="00ED3193"/>
    <w:rsid w:val="00EE4AFA"/>
    <w:rsid w:val="00EE7AA1"/>
    <w:rsid w:val="00EF38E7"/>
    <w:rsid w:val="00EF649E"/>
    <w:rsid w:val="00EF7ABF"/>
    <w:rsid w:val="00F00089"/>
    <w:rsid w:val="00F0216E"/>
    <w:rsid w:val="00F03BCE"/>
    <w:rsid w:val="00F16926"/>
    <w:rsid w:val="00F16C85"/>
    <w:rsid w:val="00F2549E"/>
    <w:rsid w:val="00F30C9E"/>
    <w:rsid w:val="00F359F0"/>
    <w:rsid w:val="00F41A1E"/>
    <w:rsid w:val="00F461E9"/>
    <w:rsid w:val="00F46BBA"/>
    <w:rsid w:val="00F57B46"/>
    <w:rsid w:val="00F71B2F"/>
    <w:rsid w:val="00F739C0"/>
    <w:rsid w:val="00F757AB"/>
    <w:rsid w:val="00FC0F1E"/>
    <w:rsid w:val="00FD3795"/>
    <w:rsid w:val="00FD60DB"/>
    <w:rsid w:val="00FD6B75"/>
    <w:rsid w:val="00FD7ACC"/>
    <w:rsid w:val="00FE1FB2"/>
    <w:rsid w:val="00FE7705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Titre1C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Titre1Car">
    <w:name w:val="Titre 1 C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En-tteC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PieddepageC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NotedebasdepageCar"/>
    <w:uiPriority w:val="99"/>
    <w:unhideWhenUsed/>
    <w:rsid w:val="00C038A3"/>
    <w:rPr>
      <w:sz w:val="20"/>
      <w:szCs w:val="20"/>
    </w:rPr>
  </w:style>
  <w:style w:type="character" w:customStyle="1" w:styleId="NotedebasdepageCar">
    <w:name w:val="Note de bas de page Car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aireCar"/>
    <w:uiPriority w:val="99"/>
    <w:semiHidden/>
    <w:unhideWhenUsed/>
    <w:rsid w:val="007D5F51"/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semiHidden/>
    <w:unhideWhenUsed/>
    <w:rsid w:val="007D5F51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E527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Titre1C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Titre1Car">
    <w:name w:val="Titre 1 C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En-tteC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PieddepageC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NotedebasdepageCar"/>
    <w:uiPriority w:val="99"/>
    <w:unhideWhenUsed/>
    <w:rsid w:val="00C038A3"/>
    <w:rPr>
      <w:sz w:val="20"/>
      <w:szCs w:val="20"/>
    </w:rPr>
  </w:style>
  <w:style w:type="character" w:customStyle="1" w:styleId="NotedebasdepageCar">
    <w:name w:val="Note de bas de page Car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aireCar"/>
    <w:uiPriority w:val="99"/>
    <w:semiHidden/>
    <w:unhideWhenUsed/>
    <w:rsid w:val="007D5F51"/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semiHidden/>
    <w:unhideWhenUsed/>
    <w:rsid w:val="007D5F51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E52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ur-lex.europa.eu/legal-content/EN/TXT/?qid=1466056863647&amp;uri=COM:2016:396:F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wwac.org/publicaciones-y-dict%c3%a1menes/respuesta-del-cc-anoc-a-la-propuesta-de-la-ce-de-reglamento-sobre-oportunidades-de-pesca-para-2016.2031.html" TargetMode="External"/><Relationship Id="rId2" Type="http://schemas.openxmlformats.org/officeDocument/2006/relationships/hyperlink" Target="http://www.nwwac.org/publicaciones-y-dict%c3%a1menes/respuesta-a-la-comunicaci%c3%b3n-de-la-ce-sobre-las-posibilidades-de-pesca-para-2016.1985.html" TargetMode="External"/><Relationship Id="rId1" Type="http://schemas.openxmlformats.org/officeDocument/2006/relationships/hyperlink" Target="http://eur-lex.europa.eu/legal-content/EN/TXT/?uri=SWD:2016:199:FIN" TargetMode="External"/><Relationship Id="rId4" Type="http://schemas.openxmlformats.org/officeDocument/2006/relationships/hyperlink" Target="http://www.nwwac.org/publicaciones-y-dict%c3%a1menes/respuesta-del-cc-anoc-a-la-propuesta-de-la-ce-de-reglamento-sobre-oportunidades-de-pesca-para-2016.20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BB7F-44B9-4760-9FCB-8F3D92E3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1982</Words>
  <Characters>11300</Characters>
  <Application>Microsoft Office Word</Application>
  <DocSecurity>0</DocSecurity>
  <Lines>94</Lines>
  <Paragraphs>26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Nolan;B.M.Schoute</dc:creator>
  <cp:lastModifiedBy>Barbara Schoute</cp:lastModifiedBy>
  <cp:revision>5</cp:revision>
  <cp:lastPrinted>2015-11-27T13:37:00Z</cp:lastPrinted>
  <dcterms:created xsi:type="dcterms:W3CDTF">2016-06-22T14:37:00Z</dcterms:created>
  <dcterms:modified xsi:type="dcterms:W3CDTF">2016-06-22T15:15:00Z</dcterms:modified>
</cp:coreProperties>
</file>