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D21447" w:rsidRPr="0019087F" w:rsidRDefault="00D2144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Registro de transparencia de la UE N° d</w:t>
      </w:r>
      <w:r w:rsidR="0019087F">
        <w:rPr>
          <w:rFonts w:cstheme="minorHAnsi"/>
          <w:b/>
          <w:lang w:val="es-ES"/>
        </w:rPr>
        <w:t xml:space="preserve">e </w:t>
      </w:r>
      <w:r w:rsidRPr="0019087F">
        <w:rPr>
          <w:rFonts w:cstheme="minorHAnsi"/>
          <w:b/>
          <w:lang w:val="es-ES"/>
        </w:rPr>
        <w:t>Id. 8900132344-29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D54274" w:rsidRDefault="00ED3193" w:rsidP="00ED3193">
      <w:pPr>
        <w:spacing w:line="280" w:lineRule="auto"/>
        <w:jc w:val="center"/>
        <w:rPr>
          <w:rFonts w:cstheme="minorHAnsi"/>
          <w:b/>
          <w:color w:val="FF0000"/>
          <w:sz w:val="32"/>
          <w:lang w:val="es-ES"/>
        </w:rPr>
      </w:pPr>
      <w:r w:rsidRPr="00D54274">
        <w:rPr>
          <w:rFonts w:cstheme="minorHAnsi"/>
          <w:b/>
          <w:color w:val="FF0000"/>
          <w:sz w:val="32"/>
          <w:lang w:val="es-ES"/>
        </w:rPr>
        <w:t>DIRECT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RICES </w:t>
      </w:r>
      <w:r w:rsidRPr="00D54274">
        <w:rPr>
          <w:rFonts w:cstheme="minorHAnsi"/>
          <w:b/>
          <w:color w:val="FF0000"/>
          <w:sz w:val="32"/>
          <w:lang w:val="es-ES"/>
        </w:rPr>
        <w:t>PARA LA REDACCIÓN DE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 DICTÁMENES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Respuesta a la comunicación de la Comisión Europea</w:t>
      </w:r>
    </w:p>
    <w:p w:rsidR="0072602F" w:rsidRPr="0019087F" w:rsidRDefault="00ED3193" w:rsidP="00A35005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Consulta sobre l</w:t>
      </w:r>
      <w:r w:rsidR="001134D7" w:rsidRPr="0019087F">
        <w:rPr>
          <w:rFonts w:cstheme="minorHAnsi"/>
          <w:b/>
          <w:lang w:val="es-ES"/>
        </w:rPr>
        <w:t xml:space="preserve">as cuotas </w:t>
      </w:r>
      <w:r w:rsidRPr="0019087F">
        <w:rPr>
          <w:rFonts w:cstheme="minorHAnsi"/>
          <w:b/>
          <w:lang w:val="es-ES"/>
        </w:rPr>
        <w:t>de pesca para el 2017 (</w:t>
      </w:r>
      <w:hyperlink r:id="rId10" w:tgtFrame="_blank" w:tooltip="COM/2016/396" w:history="1">
        <w:r w:rsidRPr="0019087F">
          <w:rPr>
            <w:rStyle w:val="Hyperlink"/>
            <w:rFonts w:cstheme="minorHAnsi"/>
            <w:b/>
            <w:color w:val="auto"/>
            <w:lang w:val="es-ES"/>
          </w:rPr>
          <w:t>COM/2016/396</w:t>
        </w:r>
      </w:hyperlink>
      <w:r w:rsidRPr="0019087F">
        <w:rPr>
          <w:rFonts w:cstheme="minorHAnsi"/>
          <w:b/>
          <w:lang w:val="es-ES"/>
        </w:rPr>
        <w:t>)</w:t>
      </w:r>
      <w:r w:rsidR="00EF7ABF" w:rsidRPr="0019087F">
        <w:rPr>
          <w:rStyle w:val="FootnoteReference"/>
          <w:rFonts w:cstheme="minorHAnsi"/>
          <w:b/>
          <w:lang w:val="es-ES"/>
        </w:rPr>
        <w:footnoteReference w:id="1"/>
      </w:r>
      <w:r w:rsidR="000F1CE3" w:rsidRPr="0019087F">
        <w:rPr>
          <w:rFonts w:cstheme="minorHAnsi"/>
          <w:b/>
          <w:lang w:val="es-ES"/>
        </w:rPr>
        <w:t xml:space="preserve"> </w:t>
      </w:r>
    </w:p>
    <w:p w:rsidR="0072602F" w:rsidRPr="0019087F" w:rsidRDefault="0072602F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0F1CE3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Julio 2016</w:t>
      </w: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i/>
          <w:color w:val="808080" w:themeColor="background1" w:themeShade="80"/>
          <w:lang w:val="es-ES"/>
        </w:rPr>
      </w:pPr>
      <w:r w:rsidRPr="00D54274">
        <w:rPr>
          <w:rFonts w:cstheme="minorHAnsi"/>
          <w:b/>
          <w:i/>
          <w:color w:val="808080" w:themeColor="background1" w:themeShade="80"/>
          <w:lang w:val="es-ES"/>
        </w:rPr>
        <w:t>Nota sobre el proceso de redacción de dictámenes</w:t>
      </w:r>
    </w:p>
    <w:p w:rsidR="00936E88" w:rsidRPr="00D54274" w:rsidRDefault="001134D7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años anteriores, el CC-ANOC ha venido respondiendo tanto al «documento de orientación» (es decir, a la consulta de la CE sobre los TAC) en otoño, como a la propuesta de TAC en diciembre</w:t>
      </w:r>
      <w:r w:rsidR="00D54274">
        <w:rPr>
          <w:rStyle w:val="FootnoteReference"/>
          <w:rFonts w:cstheme="minorHAnsi"/>
          <w:i/>
          <w:color w:val="808080" w:themeColor="background1" w:themeShade="80"/>
          <w:lang w:val="es-ES"/>
        </w:rPr>
        <w:footnoteReference w:id="2"/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En la reunión de 2 de febrero de 2016, el Comité ejecutivo sugirió que había que ser eficaz y proactivo y presentar una contribución a la propuesta de TAC en curso de elaboración que tuviera en cuenta la consulta de la CE y el dict</w:t>
      </w:r>
      <w:r w:rsidR="0019087F" w:rsidRPr="00D54274">
        <w:rPr>
          <w:rFonts w:cstheme="minorHAnsi"/>
          <w:i/>
          <w:color w:val="808080" w:themeColor="background1" w:themeShade="80"/>
          <w:lang w:val="es-ES"/>
        </w:rPr>
        <w:t>amen del CIEM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Con relación a los stocks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cuyo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dictamen CIEM se emite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otoño, el CC preparará su respuesta en noviembre.</w:t>
      </w: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En este contexto, el Comité ejecutivo no contempla la redacción de un dictamen concreto relativo a la propuesta de TAC, a menos que haga falta tener en cuenta temas regionales específicos.</w:t>
      </w:r>
    </w:p>
    <w:p w:rsidR="005011DC" w:rsidRPr="00D54274" w:rsidRDefault="0019087F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reuniones que tendrán lugar en el mes de julio se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invitará a los Grupos de Trabajo a reflexionar sobre temas específicos relativos a las especies y a la gestión de su subregión respectiva</w:t>
      </w:r>
      <w:r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5011DC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CA3DAA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El CC-ANOC espera contar con una respuesta a la consulta antes del 1 de septiembre de 2016.</w:t>
      </w:r>
      <w:r w:rsidR="00CA3DAA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B48D4" w:rsidRPr="0019087F" w:rsidRDefault="00ED3193" w:rsidP="0019087F">
      <w:pPr>
        <w:spacing w:after="200" w:line="276" w:lineRule="auto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lastRenderedPageBreak/>
        <w:t>Observaciones generales</w:t>
      </w:r>
    </w:p>
    <w:p w:rsidR="008716A4" w:rsidRPr="0019087F" w:rsidRDefault="00ED3193" w:rsidP="00ED3193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desea que este dictamen sea su principal contribución a la reflexión de la CE y de los Estados miembros afectados por las cuotas de pesca en las aguas noroccidentales.</w:t>
      </w:r>
      <w:r w:rsidR="00DB784C" w:rsidRPr="0019087F">
        <w:rPr>
          <w:rFonts w:cstheme="minorHAnsi"/>
          <w:lang w:val="es-ES"/>
        </w:rPr>
        <w:t xml:space="preserve"> </w:t>
      </w:r>
    </w:p>
    <w:p w:rsidR="00CA3DAA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A concluir por el Comité ejecutivo</w:t>
      </w:r>
      <w:r w:rsidR="00541E73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55635D" w:rsidRPr="0019087F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Documento de consulta</w:t>
      </w:r>
    </w:p>
    <w:p w:rsidR="00F57B46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Plan plurianual – Uso de las series F</w:t>
      </w:r>
      <w:r w:rsidR="00A970F7" w:rsidRPr="0019087F">
        <w:rPr>
          <w:rFonts w:cstheme="minorHAnsi"/>
          <w:u w:val="single"/>
          <w:lang w:val="es-ES"/>
        </w:rPr>
        <w:t xml:space="preserve"> </w:t>
      </w:r>
    </w:p>
    <w:p w:rsidR="00F57B46" w:rsidRPr="0019087F" w:rsidRDefault="00ED3193" w:rsidP="00ED3193">
      <w:pPr>
        <w:pStyle w:val="ListParagraph"/>
        <w:numPr>
          <w:ilvl w:val="0"/>
          <w:numId w:val="37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Dictamen de las pesquerías mixtas para el mar Céltico.</w:t>
      </w:r>
    </w:p>
    <w:p w:rsidR="00F41A1E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aplicación de dicho enfoque en las ANOC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8E2B44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basadas en la contribución del GT (ver más abajo)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F57B46" w:rsidRPr="0019087F" w:rsidRDefault="00ED3193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evaluación del rendimiento máximo sostenible</w:t>
      </w:r>
      <w:r w:rsidR="009F5E49" w:rsidRPr="0019087F">
        <w:rPr>
          <w:rFonts w:cstheme="minorHAnsi"/>
          <w:lang w:val="es-ES"/>
        </w:rPr>
        <w:t xml:space="preserve"> (MSY en inglés)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Otros stocks: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datos para determinar los rendimientos máximos sostenibles aproximados.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tendencias evaluadas mediante estudios o series de capturas cronológicas.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presunción de estabilidad.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dictámenes biológicos.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TAC y obligación de desembarque de todas las capturas.</w:t>
      </w:r>
    </w:p>
    <w:p w:rsidR="00F41A1E" w:rsidRPr="00E527F1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basadas en una contribución del GT (ver más abajo)</w:t>
      </w:r>
    </w:p>
    <w:p w:rsidR="008E2B44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F0216E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  <w:sectPr w:rsidR="00F0216E" w:rsidRPr="00E527F1" w:rsidSect="003D0689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generales sobre la contribución del GT (ver más abajo)</w:t>
      </w:r>
    </w:p>
    <w:p w:rsidR="008E2B44" w:rsidRPr="0019087F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</w:p>
    <w:p w:rsidR="00BE61FF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Observaciones específicas por Región:</w:t>
      </w:r>
    </w:p>
    <w:p w:rsidR="00E527F1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Oeste de Escocia; zonas CIEM Vd (CE) VIa, VIb y </w:t>
      </w:r>
      <w:r w:rsidR="0019087F" w:rsidRPr="00E527F1">
        <w:rPr>
          <w:rFonts w:cstheme="minorHAnsi"/>
          <w:b/>
          <w:lang w:val="es-ES"/>
        </w:rPr>
        <w:t>A</w:t>
      </w:r>
      <w:r w:rsidRPr="00E527F1">
        <w:rPr>
          <w:rFonts w:cstheme="minorHAnsi"/>
          <w:b/>
          <w:lang w:val="es-ES"/>
        </w:rPr>
        <w:t>ccesos occidentales</w:t>
      </w:r>
      <w:r w:rsidR="00F0216E" w:rsidRPr="00E527F1">
        <w:rPr>
          <w:rFonts w:cstheme="minorHAnsi"/>
          <w:b/>
          <w:lang w:val="es-ES"/>
        </w:rPr>
        <w:t xml:space="preserve">    </w:t>
      </w:r>
    </w:p>
    <w:p w:rsidR="00F0216E" w:rsidRPr="00E527F1" w:rsidRDefault="009F5E49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1]</w:t>
      </w:r>
    </w:p>
    <w:p w:rsidR="00F0216E" w:rsidRPr="0019087F" w:rsidRDefault="009F5E49" w:rsidP="009F5E49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A8525F" w:rsidRPr="0019087F" w:rsidRDefault="009F5E49" w:rsidP="009F5E49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 xml:space="preserve">Oeste de Escocia </w:t>
      </w:r>
    </w:p>
    <w:p w:rsidR="00BE61FF" w:rsidRPr="0019087F" w:rsidRDefault="009F5E49" w:rsidP="009F5E49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Especies de aguas profundas</w:t>
      </w:r>
    </w:p>
    <w:p w:rsidR="00BE61FF" w:rsidRPr="0019087F" w:rsidRDefault="00BE61FF" w:rsidP="00BE61FF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9E7B35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BE61FF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y relativa a la subregión del GT.</w:t>
      </w:r>
      <w:r w:rsidR="00BE61FF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9E7B35" w:rsidRPr="0019087F" w:rsidRDefault="009E7B35" w:rsidP="009E7B35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9E7B35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9E7B35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Proporcionar informaciones sobre las modificaciones específicas de las prácticas pesqueras afectadas por la asignación de TAC.</w:t>
      </w:r>
      <w:r w:rsidR="009E7B35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DA647A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>NB:</w:t>
      </w:r>
      <w:r w:rsidR="00BE61FF" w:rsidRPr="00E527F1">
        <w:rPr>
          <w:rFonts w:cstheme="minorHAnsi"/>
          <w:i/>
          <w:color w:val="FF0000"/>
          <w:lang w:val="es-ES"/>
        </w:rPr>
        <w:t xml:space="preserve"> </w:t>
      </w:r>
      <w:r w:rsidRPr="00E527F1">
        <w:rPr>
          <w:rFonts w:cstheme="minorHAnsi"/>
          <w:i/>
          <w:color w:val="FF0000"/>
          <w:lang w:val="es-ES"/>
        </w:rPr>
        <w:t xml:space="preserve">Rogamos centren sus observaciones en </w:t>
      </w:r>
      <w:r w:rsidR="001134D7" w:rsidRPr="00E527F1">
        <w:rPr>
          <w:rFonts w:cstheme="minorHAnsi"/>
          <w:i/>
          <w:color w:val="FF0000"/>
          <w:lang w:val="es-ES"/>
        </w:rPr>
        <w:t xml:space="preserve">los </w:t>
      </w:r>
      <w:r w:rsidRPr="00E527F1">
        <w:rPr>
          <w:rFonts w:cstheme="minorHAnsi"/>
          <w:i/>
          <w:color w:val="FF0000"/>
          <w:lang w:val="es-ES"/>
        </w:rPr>
        <w:t>temas propios a la subregión.</w:t>
      </w:r>
      <w:r w:rsidR="009E7B35" w:rsidRPr="00E527F1">
        <w:rPr>
          <w:rFonts w:cstheme="minorHAnsi"/>
          <w:i/>
          <w:color w:val="FF0000"/>
          <w:lang w:val="es-ES"/>
        </w:rPr>
        <w:t xml:space="preserve"> </w:t>
      </w:r>
      <w:r w:rsidR="00BE61FF" w:rsidRPr="00E527F1">
        <w:rPr>
          <w:rFonts w:cstheme="minorHAnsi"/>
          <w:i/>
          <w:color w:val="FF0000"/>
          <w:lang w:val="es-ES"/>
        </w:rPr>
        <w:t xml:space="preserve"> </w:t>
      </w:r>
    </w:p>
    <w:p w:rsidR="002D73D0" w:rsidRDefault="002D73D0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lastRenderedPageBreak/>
        <w:t>TACs</w:t>
      </w:r>
      <w:proofErr w:type="spellEnd"/>
      <w:r w:rsidRPr="00E527F1">
        <w:rPr>
          <w:lang w:val="es-ES"/>
        </w:rPr>
        <w:t xml:space="preserve"> en VI: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1"/>
        <w:gridCol w:w="4116"/>
      </w:tblGrid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proofErr w:type="spellStart"/>
            <w:r w:rsidRPr="00E527F1">
              <w:rPr>
                <w:lang w:val="es-ES"/>
              </w:rPr>
              <w:t>Alfonsinos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III, IV, V, VI, VII, VIII, IX, X, XII 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br/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XIV 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Rapes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Sable negro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V, VI, VII, XII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Maruca azul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Bacalao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VIa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Bacalao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Tiburones del mar profundo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VI, VII, VIII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IX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Brótola de fango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Pejerrey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Eglefino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Eglefino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VIa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Merluza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Maruca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VII, VIII, IX, X,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Gallo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Default="00E527F1">
            <w:r w:rsidRPr="00002575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Cigala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E527F1" w:rsidRDefault="00E527F1">
            <w:r w:rsidRPr="00002575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Consejos del CIEM 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Reloj anaranjado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proofErr w:type="spellStart"/>
            <w:r w:rsidRPr="00E527F1">
              <w:rPr>
                <w:lang w:val="es-ES"/>
              </w:rPr>
              <w:t>Solla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Abadejo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Besugo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VI, VII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 xml:space="preserve">Granadero de roca y Granadero </w:t>
            </w:r>
            <w:proofErr w:type="spellStart"/>
            <w:r w:rsidRPr="00E527F1">
              <w:rPr>
                <w:lang w:val="es-ES"/>
              </w:rPr>
              <w:t>berglax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  <w:proofErr w:type="spellStart"/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Carbonero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Rayas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VIa,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VIb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VIIa-c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e-k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Lenguado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Mielga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I, V, VI, VII, VIII,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Brosmio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VII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  <w:tr w:rsidR="00E527F1" w:rsidRPr="00E527F1" w:rsidTr="00F65631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527F1" w:rsidRPr="00E527F1" w:rsidRDefault="00E527F1" w:rsidP="003D69B0">
            <w:pPr>
              <w:rPr>
                <w:lang w:val="es-ES"/>
              </w:rPr>
            </w:pPr>
            <w:r w:rsidRPr="00E527F1">
              <w:rPr>
                <w:lang w:val="es-ES"/>
              </w:rPr>
              <w:t>Merlán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VI, </w:t>
            </w:r>
            <w:proofErr w:type="spellStart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Vb</w:t>
            </w:r>
            <w:proofErr w:type="spellEnd"/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y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 XIV</w:t>
            </w:r>
          </w:p>
        </w:tc>
        <w:tc>
          <w:tcPr>
            <w:tcW w:w="4116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</w:pPr>
          </w:p>
        </w:tc>
      </w:tr>
    </w:tbl>
    <w:p w:rsidR="002D73D0" w:rsidRDefault="002D73D0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</w:p>
    <w:p w:rsidR="002D73D0" w:rsidRDefault="002D73D0">
      <w:pPr>
        <w:spacing w:after="200" w:line="276" w:lineRule="auto"/>
        <w:rPr>
          <w:rFonts w:cstheme="minorHAnsi"/>
          <w:i/>
          <w:color w:val="FF0000"/>
          <w:lang w:val="es-ES"/>
        </w:rPr>
      </w:pPr>
      <w:r>
        <w:rPr>
          <w:rFonts w:cstheme="minorHAnsi"/>
          <w:i/>
          <w:color w:val="FF0000"/>
          <w:lang w:val="es-ES"/>
        </w:rPr>
        <w:br w:type="page"/>
      </w:r>
    </w:p>
    <w:p w:rsidR="002D73D0" w:rsidRPr="00BF000B" w:rsidRDefault="002D73D0" w:rsidP="002D73D0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lastRenderedPageBreak/>
        <w:t xml:space="preserve">Oeste de Irlanda y Mar Céltico - zona CIEM VII (excepto d, e y a)    </w:t>
      </w:r>
    </w:p>
    <w:p w:rsidR="002D73D0" w:rsidRPr="00BF000B" w:rsidRDefault="002D73D0" w:rsidP="002D73D0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BF000B">
        <w:rPr>
          <w:rFonts w:cstheme="minorHAnsi"/>
          <w:b/>
          <w:color w:val="808080" w:themeColor="background1" w:themeShade="80"/>
          <w:lang w:val="es-ES"/>
        </w:rPr>
        <w:t>GT 2</w:t>
      </w:r>
      <w:r w:rsidRPr="00E527F1">
        <w:rPr>
          <w:rFonts w:cstheme="minorHAnsi"/>
          <w:b/>
          <w:color w:val="808080" w:themeColor="background1" w:themeShade="80"/>
          <w:lang w:val="es-ES"/>
        </w:rPr>
        <w:t>] </w:t>
      </w:r>
    </w:p>
    <w:p w:rsidR="002D73D0" w:rsidRPr="00A05550" w:rsidRDefault="002D73D0" w:rsidP="002D73D0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 xml:space="preserve">Canal de la Mancha - zonas CIEM VIId y VIIe    </w:t>
      </w:r>
    </w:p>
    <w:p w:rsidR="002D73D0" w:rsidRPr="00A05550" w:rsidRDefault="002D73D0" w:rsidP="002D73D0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A05550">
        <w:rPr>
          <w:rFonts w:cstheme="minorHAnsi"/>
          <w:b/>
          <w:color w:val="808080" w:themeColor="background1" w:themeShade="80"/>
          <w:lang w:val="es-ES"/>
        </w:rPr>
        <w:t>GT 3</w:t>
      </w:r>
      <w:r w:rsidRPr="00E527F1">
        <w:rPr>
          <w:rFonts w:cstheme="minorHAnsi"/>
          <w:b/>
          <w:color w:val="808080" w:themeColor="background1" w:themeShade="80"/>
          <w:lang w:val="es-ES"/>
        </w:rPr>
        <w:t>] </w:t>
      </w:r>
    </w:p>
    <w:p w:rsidR="002D73D0" w:rsidRPr="00A05550" w:rsidRDefault="002D73D0" w:rsidP="002D73D0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 xml:space="preserve">Mar de Irlanda - zona CIEM VIIa    </w:t>
      </w:r>
      <w:bookmarkStart w:id="0" w:name="_GoBack"/>
      <w:bookmarkEnd w:id="0"/>
    </w:p>
    <w:p w:rsidR="002D73D0" w:rsidRPr="00E527F1" w:rsidRDefault="002D73D0" w:rsidP="002D73D0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A05550">
        <w:rPr>
          <w:rFonts w:cstheme="minorHAnsi"/>
          <w:b/>
          <w:color w:val="808080" w:themeColor="background1" w:themeShade="80"/>
          <w:lang w:val="es-ES"/>
        </w:rPr>
        <w:t>GT 4</w:t>
      </w:r>
      <w:r w:rsidRPr="00E527F1">
        <w:rPr>
          <w:rFonts w:cstheme="minorHAnsi"/>
          <w:b/>
          <w:color w:val="808080" w:themeColor="background1" w:themeShade="80"/>
          <w:lang w:val="es-ES"/>
        </w:rPr>
        <w:t>]</w:t>
      </w:r>
    </w:p>
    <w:p w:rsidR="002D73D0" w:rsidRPr="002D73D0" w:rsidRDefault="002D73D0" w:rsidP="002D73D0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Stocks contemplados en el dictamen científico de otoño</w:t>
      </w:r>
    </w:p>
    <w:p w:rsidR="002D73D0" w:rsidRDefault="002D73D0" w:rsidP="002D73D0">
      <w:pPr>
        <w:spacing w:before="100" w:beforeAutospacing="1" w:after="100" w:afterAutospacing="1"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ampliará, cuando proceda, sus observaciones sobre los stocks para los que se contempla la emisión del dictamen del CIEM más all</w:t>
      </w:r>
      <w:r>
        <w:rPr>
          <w:rFonts w:cstheme="minorHAnsi"/>
          <w:lang w:val="es-ES"/>
        </w:rPr>
        <w:t>á de finales de octubre de 2016: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2D73D0" w:rsidRPr="00D360A8" w:rsidTr="00F65631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Pr="003176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Eglefino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Pr="003176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Rapes</w:t>
            </w:r>
          </w:p>
          <w:p w:rsidR="002D73D0" w:rsidRPr="003176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Pr="003176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Gallo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Pr="003176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2D73D0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3D0" w:rsidRDefault="002D73D0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D0" w:rsidRPr="00D360A8" w:rsidRDefault="002D73D0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2D73D0" w:rsidRPr="002D73D0" w:rsidRDefault="002D73D0" w:rsidP="002D73D0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Rayas</w:t>
      </w:r>
    </w:p>
    <w:p w:rsidR="002D73D0" w:rsidRPr="002D73D0" w:rsidRDefault="002D73D0" w:rsidP="002D73D0">
      <w:pPr>
        <w:pStyle w:val="ListParagraph"/>
        <w:spacing w:before="100" w:beforeAutospacing="1" w:line="280" w:lineRule="auto"/>
        <w:ind w:left="0"/>
        <w:jc w:val="both"/>
        <w:rPr>
          <w:rFonts w:cstheme="minorHAnsi"/>
          <w:color w:val="808080" w:themeColor="background1" w:themeShade="80"/>
          <w:lang w:val="es-ES"/>
        </w:rPr>
      </w:pPr>
      <w:r w:rsidRPr="002D73D0">
        <w:rPr>
          <w:rFonts w:cstheme="minorHAnsi"/>
          <w:color w:val="808080" w:themeColor="background1" w:themeShade="80"/>
          <w:lang w:val="es-ES"/>
        </w:rPr>
        <w:t>Grupo de debate sobre las rayas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</w:p>
    <w:sectPr w:rsidR="00E527F1" w:rsidRPr="00E527F1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8" w:rsidRDefault="00C43558" w:rsidP="001C1D46">
      <w:r>
        <w:separator/>
      </w:r>
    </w:p>
  </w:endnote>
  <w:endnote w:type="continuationSeparator" w:id="0">
    <w:p w:rsidR="00C43558" w:rsidRDefault="00C4355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5F" w:rsidRPr="00AF3CFD" w:rsidRDefault="00AF3CFD" w:rsidP="00AF3CFD">
    <w:pPr>
      <w:pStyle w:val="Footer"/>
      <w:jc w:val="center"/>
    </w:pPr>
    <w:proofErr w:type="spellStart"/>
    <w:r>
      <w:rPr>
        <w:sz w:val="16"/>
        <w:szCs w:val="12"/>
        <w:lang w:val="fr-FR"/>
      </w:rPr>
      <w:t>Proyecto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c</w:t>
    </w:r>
    <w:r w:rsidRPr="00AF3CFD">
      <w:rPr>
        <w:sz w:val="16"/>
        <w:szCs w:val="12"/>
        <w:lang w:val="fr-FR"/>
      </w:rPr>
      <w:t>ontribución</w:t>
    </w:r>
    <w:proofErr w:type="spellEnd"/>
    <w:r w:rsidRPr="00AF3CFD"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CC-ANOC </w:t>
    </w:r>
    <w:r w:rsidRPr="00AF3CFD">
      <w:rPr>
        <w:sz w:val="16"/>
        <w:szCs w:val="12"/>
        <w:lang w:val="fr-FR"/>
      </w:rPr>
      <w:t xml:space="preserve">para </w:t>
    </w:r>
    <w:proofErr w:type="spellStart"/>
    <w:r w:rsidRPr="00AF3CFD">
      <w:rPr>
        <w:sz w:val="16"/>
        <w:szCs w:val="12"/>
        <w:lang w:val="fr-FR"/>
      </w:rPr>
      <w:t>cumplir</w:t>
    </w:r>
    <w:proofErr w:type="spellEnd"/>
    <w:r w:rsidRPr="00AF3CFD">
      <w:rPr>
        <w:sz w:val="16"/>
        <w:szCs w:val="12"/>
        <w:lang w:val="fr-FR"/>
      </w:rPr>
      <w:t xml:space="preserve"> con la </w:t>
    </w:r>
    <w:proofErr w:type="spellStart"/>
    <w:r w:rsidRPr="00AF3CFD">
      <w:rPr>
        <w:sz w:val="16"/>
        <w:szCs w:val="12"/>
        <w:lang w:val="fr-FR"/>
      </w:rPr>
      <w:t>Comunicación</w:t>
    </w:r>
    <w:proofErr w:type="spellEnd"/>
    <w:r w:rsidRPr="00AF3CFD">
      <w:rPr>
        <w:sz w:val="16"/>
        <w:szCs w:val="12"/>
        <w:lang w:val="fr-FR"/>
      </w:rPr>
      <w:t xml:space="preserve"> de la CE sobre </w:t>
    </w:r>
    <w:proofErr w:type="spellStart"/>
    <w:r w:rsidRPr="00AF3CFD">
      <w:rPr>
        <w:sz w:val="16"/>
        <w:szCs w:val="12"/>
        <w:lang w:val="fr-FR"/>
      </w:rPr>
      <w:t>posibilidades</w:t>
    </w:r>
    <w:proofErr w:type="spellEnd"/>
    <w:r w:rsidRPr="00AF3CFD">
      <w:rPr>
        <w:sz w:val="16"/>
        <w:szCs w:val="12"/>
        <w:lang w:val="fr-FR"/>
      </w:rPr>
      <w:t xml:space="preserve"> de </w:t>
    </w:r>
    <w:proofErr w:type="spellStart"/>
    <w:r w:rsidRPr="00AF3CFD">
      <w:rPr>
        <w:sz w:val="16"/>
        <w:szCs w:val="12"/>
        <w:lang w:val="fr-FR"/>
      </w:rPr>
      <w:t>pesca</w:t>
    </w:r>
    <w:proofErr w:type="spellEnd"/>
    <w:r w:rsidRPr="00AF3CFD">
      <w:rPr>
        <w:sz w:val="16"/>
        <w:szCs w:val="12"/>
        <w:lang w:val="fr-FR"/>
      </w:rPr>
      <w:t xml:space="preserve"> para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8" w:rsidRDefault="00C43558" w:rsidP="001C1D46">
      <w:r>
        <w:separator/>
      </w:r>
    </w:p>
  </w:footnote>
  <w:footnote w:type="continuationSeparator" w:id="0">
    <w:p w:rsidR="00C43558" w:rsidRDefault="00C43558" w:rsidP="001C1D46">
      <w:r>
        <w:continuationSeparator/>
      </w:r>
    </w:p>
  </w:footnote>
  <w:footnote w:id="1">
    <w:p w:rsidR="00A8525F" w:rsidRPr="0019087F" w:rsidRDefault="00A8525F">
      <w:pPr>
        <w:pStyle w:val="FootnoteText"/>
        <w:rPr>
          <w:lang w:val="es-ES"/>
        </w:rPr>
      </w:pPr>
      <w:r w:rsidRPr="0019087F">
        <w:rPr>
          <w:rStyle w:val="FootnoteReference"/>
          <w:lang w:val="es-ES"/>
        </w:rPr>
        <w:footnoteRef/>
      </w:r>
      <w:r w:rsidRPr="0019087F">
        <w:rPr>
          <w:lang w:val="es-ES"/>
        </w:rPr>
        <w:t xml:space="preserve">  </w:t>
      </w:r>
      <w:r w:rsidR="0019087F" w:rsidRPr="0019087F">
        <w:rPr>
          <w:lang w:val="es-ES"/>
        </w:rPr>
        <w:t xml:space="preserve">Y el </w:t>
      </w:r>
      <w:hyperlink r:id="rId1" w:history="1">
        <w:r w:rsidR="00936E88" w:rsidRPr="0019087F">
          <w:rPr>
            <w:rStyle w:val="Hyperlink"/>
            <w:lang w:val="es-ES"/>
          </w:rPr>
          <w:t>Document</w:t>
        </w:r>
        <w:r w:rsidR="0019087F" w:rsidRPr="0019087F">
          <w:rPr>
            <w:rStyle w:val="Hyperlink"/>
            <w:lang w:val="es-ES"/>
          </w:rPr>
          <w:t xml:space="preserve">o de trabajo de los servicios de la Comisión </w:t>
        </w:r>
      </w:hyperlink>
      <w:r w:rsidRPr="0019087F">
        <w:rPr>
          <w:lang w:val="es-ES"/>
        </w:rPr>
        <w:t xml:space="preserve"> </w:t>
      </w:r>
      <w:r w:rsidR="00A970F7" w:rsidRPr="0019087F">
        <w:rPr>
          <w:lang w:val="es-ES"/>
        </w:rPr>
        <w:t xml:space="preserve"> </w:t>
      </w:r>
      <w:r w:rsidR="0019087F" w:rsidRPr="0019087F">
        <w:rPr>
          <w:lang w:val="es-ES"/>
        </w:rPr>
        <w:t>adjunto</w:t>
      </w:r>
      <w:r w:rsidR="00A970F7" w:rsidRPr="0019087F">
        <w:rPr>
          <w:lang w:val="es-ES"/>
        </w:rPr>
        <w:t xml:space="preserve"> </w:t>
      </w:r>
      <w:r w:rsidRPr="0019087F">
        <w:rPr>
          <w:lang w:val="es-ES"/>
        </w:rPr>
        <w:t>(</w:t>
      </w:r>
      <w:r w:rsidR="0019087F">
        <w:rPr>
          <w:lang w:val="es-ES"/>
        </w:rPr>
        <w:t>ú</w:t>
      </w:r>
      <w:r w:rsidR="00A970F7" w:rsidRPr="0019087F">
        <w:rPr>
          <w:lang w:val="es-ES"/>
        </w:rPr>
        <w:t>ni</w:t>
      </w:r>
      <w:r w:rsidR="0019087F" w:rsidRPr="0019087F">
        <w:rPr>
          <w:lang w:val="es-ES"/>
        </w:rPr>
        <w:t>camente en inglés</w:t>
      </w:r>
      <w:r w:rsidRPr="0019087F">
        <w:rPr>
          <w:lang w:val="es-ES"/>
        </w:rPr>
        <w:t>)</w:t>
      </w:r>
    </w:p>
  </w:footnote>
  <w:footnote w:id="2">
    <w:p w:rsidR="00D54274" w:rsidRPr="00D54274" w:rsidRDefault="00D54274" w:rsidP="00D5427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Pr="00D54274">
        <w:rPr>
          <w:lang w:val="en-IE"/>
        </w:rPr>
        <w:t>or</w:t>
      </w:r>
      <w:proofErr w:type="spellEnd"/>
      <w:r w:rsidRPr="00D54274">
        <w:rPr>
          <w:lang w:val="en-IE"/>
        </w:rPr>
        <w:t xml:space="preserve"> </w:t>
      </w:r>
      <w:proofErr w:type="spellStart"/>
      <w:r w:rsidRPr="00D54274">
        <w:rPr>
          <w:lang w:val="en-IE"/>
        </w:rPr>
        <w:t>ejemplo,</w:t>
      </w:r>
      <w:r w:rsidR="00E527F1">
        <w:rPr>
          <w:lang w:val="en-IE"/>
        </w:rPr>
        <w:t>la</w:t>
      </w:r>
      <w:proofErr w:type="spellEnd"/>
      <w:r w:rsidR="00E527F1">
        <w:rPr>
          <w:lang w:val="en-IE"/>
        </w:rPr>
        <w:t xml:space="preserve"> </w:t>
      </w:r>
      <w:r>
        <w:rPr>
          <w:lang w:val="en-IE"/>
        </w:rPr>
        <w:t xml:space="preserve"> </w:t>
      </w:r>
      <w:hyperlink r:id="rId2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a la </w:t>
        </w:r>
        <w:proofErr w:type="spellStart"/>
        <w:r w:rsidRPr="00D54274">
          <w:rPr>
            <w:rStyle w:val="Hyperlink"/>
            <w:lang w:val="en-IE"/>
          </w:rPr>
          <w:t>Comunicación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Pr="00D54274">
          <w:rPr>
            <w:rStyle w:val="Hyperlink"/>
            <w:lang w:val="en-IE"/>
          </w:rPr>
          <w:t>sobre</w:t>
        </w:r>
        <w:proofErr w:type="spellEnd"/>
        <w:r w:rsidRPr="00D54274">
          <w:rPr>
            <w:rStyle w:val="Hyperlink"/>
            <w:lang w:val="en-IE"/>
          </w:rPr>
          <w:t xml:space="preserve"> las </w:t>
        </w:r>
        <w:proofErr w:type="spellStart"/>
        <w:r w:rsidRPr="00D54274">
          <w:rPr>
            <w:rStyle w:val="Hyperlink"/>
            <w:lang w:val="en-IE"/>
          </w:rPr>
          <w:t>posibilidades</w:t>
        </w:r>
        <w:proofErr w:type="spellEnd"/>
        <w:r w:rsidRPr="00D54274">
          <w:rPr>
            <w:rStyle w:val="Hyperlink"/>
            <w:lang w:val="en-IE"/>
          </w:rPr>
          <w:t xml:space="preserve"> de </w:t>
        </w:r>
        <w:proofErr w:type="spellStart"/>
        <w:r w:rsidRPr="00D54274">
          <w:rPr>
            <w:rStyle w:val="Hyperlink"/>
            <w:lang w:val="en-IE"/>
          </w:rPr>
          <w:t>pesca</w:t>
        </w:r>
        <w:proofErr w:type="spellEnd"/>
        <w:r w:rsidRPr="00D54274">
          <w:rPr>
            <w:rStyle w:val="Hyperlink"/>
            <w:lang w:val="en-IE"/>
          </w:rPr>
          <w:t xml:space="preserve"> para 2016</w:t>
        </w:r>
      </w:hyperlink>
      <w:r>
        <w:rPr>
          <w:lang w:val="en-IE"/>
        </w:rPr>
        <w:t xml:space="preserve"> y l</w:t>
      </w:r>
      <w:r w:rsidR="00E527F1">
        <w:rPr>
          <w:lang w:val="en-IE"/>
        </w:rPr>
        <w:t>a</w:t>
      </w:r>
      <w:r>
        <w:rPr>
          <w:lang w:val="en-IE"/>
        </w:rPr>
        <w:t xml:space="preserve"> </w:t>
      </w:r>
      <w:hyperlink r:id="rId3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del CC-ANOC a la </w:t>
        </w:r>
        <w:proofErr w:type="spellStart"/>
        <w:r w:rsidRPr="00D54274">
          <w:rPr>
            <w:rStyle w:val="Hyperlink"/>
            <w:lang w:val="en-IE"/>
          </w:rPr>
          <w:t>propuesta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="00E527F1">
          <w:rPr>
            <w:rStyle w:val="Hyperlink"/>
            <w:lang w:val="en-IE"/>
          </w:rPr>
          <w:t>sobre</w:t>
        </w:r>
        <w:proofErr w:type="spellEnd"/>
        <w:r>
          <w:rPr>
            <w:rStyle w:val="Hyperlink"/>
            <w:lang w:val="en-IE"/>
          </w:rPr>
          <w:t xml:space="preserve"> TACs, 8 </w:t>
        </w:r>
        <w:proofErr w:type="spellStart"/>
        <w:r>
          <w:rPr>
            <w:rStyle w:val="Hyperlink"/>
            <w:lang w:val="en-IE"/>
          </w:rPr>
          <w:t>diciembre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  <w:p w:rsidR="00D54274" w:rsidRPr="00D54274" w:rsidRDefault="00D54274">
      <w:pPr>
        <w:pStyle w:val="FootnoteText"/>
        <w:rPr>
          <w:lang w:val="en-I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FB6A2E"/>
    <w:multiLevelType w:val="multilevel"/>
    <w:tmpl w:val="60A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37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39"/>
  </w:num>
  <w:num w:numId="9">
    <w:abstractNumId w:val="31"/>
  </w:num>
  <w:num w:numId="10">
    <w:abstractNumId w:val="29"/>
  </w:num>
  <w:num w:numId="11">
    <w:abstractNumId w:val="14"/>
  </w:num>
  <w:num w:numId="12">
    <w:abstractNumId w:val="38"/>
  </w:num>
  <w:num w:numId="13">
    <w:abstractNumId w:val="19"/>
  </w:num>
  <w:num w:numId="14">
    <w:abstractNumId w:val="15"/>
  </w:num>
  <w:num w:numId="15">
    <w:abstractNumId w:val="30"/>
  </w:num>
  <w:num w:numId="16">
    <w:abstractNumId w:val="26"/>
  </w:num>
  <w:num w:numId="17">
    <w:abstractNumId w:val="34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3"/>
  </w:num>
  <w:num w:numId="24">
    <w:abstractNumId w:val="20"/>
  </w:num>
  <w:num w:numId="25">
    <w:abstractNumId w:val="27"/>
  </w:num>
  <w:num w:numId="26">
    <w:abstractNumId w:val="32"/>
  </w:num>
  <w:num w:numId="27">
    <w:abstractNumId w:val="22"/>
  </w:num>
  <w:num w:numId="28">
    <w:abstractNumId w:val="24"/>
  </w:num>
  <w:num w:numId="29">
    <w:abstractNumId w:val="23"/>
  </w:num>
  <w:num w:numId="30">
    <w:abstractNumId w:val="21"/>
  </w:num>
  <w:num w:numId="31">
    <w:abstractNumId w:val="28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6"/>
  </w:num>
  <w:num w:numId="38">
    <w:abstractNumId w:val="4"/>
  </w:num>
  <w:num w:numId="39">
    <w:abstractNumId w:val="0"/>
  </w:num>
  <w:num w:numId="40">
    <w:abstractNumId w:val="35"/>
  </w:num>
  <w:num w:numId="4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D0F52"/>
    <w:rsid w:val="000E4906"/>
    <w:rsid w:val="000F1CE3"/>
    <w:rsid w:val="000F44E6"/>
    <w:rsid w:val="000F661D"/>
    <w:rsid w:val="0010320D"/>
    <w:rsid w:val="001134D7"/>
    <w:rsid w:val="00133EF3"/>
    <w:rsid w:val="00140F90"/>
    <w:rsid w:val="00153A4F"/>
    <w:rsid w:val="0017326D"/>
    <w:rsid w:val="001766F6"/>
    <w:rsid w:val="00182B2F"/>
    <w:rsid w:val="0018623E"/>
    <w:rsid w:val="0019087F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D73D0"/>
    <w:rsid w:val="002E0B85"/>
    <w:rsid w:val="002E0D16"/>
    <w:rsid w:val="002E638E"/>
    <w:rsid w:val="002E67A8"/>
    <w:rsid w:val="002E6A93"/>
    <w:rsid w:val="00324F96"/>
    <w:rsid w:val="003519DC"/>
    <w:rsid w:val="0035246E"/>
    <w:rsid w:val="00354507"/>
    <w:rsid w:val="00360A4F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5A3F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9F5E49"/>
    <w:rsid w:val="00A03609"/>
    <w:rsid w:val="00A05328"/>
    <w:rsid w:val="00A170F5"/>
    <w:rsid w:val="00A23E74"/>
    <w:rsid w:val="00A34790"/>
    <w:rsid w:val="00A35005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AF3CFD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34438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54274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27F1"/>
    <w:rsid w:val="00E537B9"/>
    <w:rsid w:val="00E618EE"/>
    <w:rsid w:val="00E71741"/>
    <w:rsid w:val="00E7206B"/>
    <w:rsid w:val="00E720FE"/>
    <w:rsid w:val="00E87E94"/>
    <w:rsid w:val="00EB7978"/>
    <w:rsid w:val="00ED3193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ciones-y-dict%c3%a1menes/respuesta-del-cc-anoc-a-la-propuesta-de-la-ce-de-reglamento-sobre-oportunidades-de-pesca-para-2016.2031.html" TargetMode="External"/><Relationship Id="rId2" Type="http://schemas.openxmlformats.org/officeDocument/2006/relationships/hyperlink" Target="http://www.nwwac.org/publicaciones-y-dict%c3%a1menes/respuesta-a-la-comunicaci%c3%b3n-de-la-ce-sobre-las-posibilidades-de-pesca-para-2016.1985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E169-3F5E-4713-ADCF-052A0488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4</cp:revision>
  <cp:lastPrinted>2015-11-27T13:37:00Z</cp:lastPrinted>
  <dcterms:created xsi:type="dcterms:W3CDTF">2016-06-22T15:15:00Z</dcterms:created>
  <dcterms:modified xsi:type="dcterms:W3CDTF">2016-06-22T15:20:00Z</dcterms:modified>
</cp:coreProperties>
</file>