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D21447" w:rsidRPr="00610BA6" w:rsidRDefault="00D2144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F739C0" w:rsidP="00F739C0">
      <w:pPr>
        <w:spacing w:line="276" w:lineRule="auto"/>
        <w:jc w:val="center"/>
        <w:rPr>
          <w:b/>
          <w:lang w:val="en-IE"/>
        </w:rPr>
      </w:pPr>
      <w:r w:rsidRPr="00F253D0">
        <w:rPr>
          <w:b/>
          <w:lang w:val="en-IE"/>
        </w:rPr>
        <w:t>Registre de transparence de l’UE N° d’Id. 8900132344-29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4347A4" w:rsidP="00F739C0">
      <w:pPr>
        <w:spacing w:line="276" w:lineRule="auto"/>
        <w:jc w:val="center"/>
        <w:rPr>
          <w:rFonts w:cstheme="minorHAnsi"/>
          <w:b/>
          <w:color w:val="FF0000"/>
          <w:sz w:val="32"/>
          <w:lang w:val="fr-FR"/>
        </w:rPr>
      </w:pPr>
      <w:r w:rsidRPr="00F253D0">
        <w:rPr>
          <w:rFonts w:cstheme="minorHAnsi"/>
          <w:b/>
          <w:color w:val="FF0000"/>
          <w:sz w:val="32"/>
          <w:lang w:val="fr-FR"/>
        </w:rPr>
        <w:t>DIRECTIVES</w:t>
      </w:r>
      <w:r w:rsidR="00F739C0" w:rsidRPr="00F253D0">
        <w:rPr>
          <w:rFonts w:cstheme="minorHAnsi"/>
          <w:b/>
          <w:color w:val="FF0000"/>
          <w:sz w:val="32"/>
          <w:lang w:val="fr-FR"/>
        </w:rPr>
        <w:t xml:space="preserve"> POUR LA RÉDACTION D’AVIS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Réponse à la communication de la Commission européenne</w:t>
      </w:r>
    </w:p>
    <w:p w:rsidR="0072602F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 xml:space="preserve">Consultation sur les possibilités de pêche pour 2017 </w:t>
      </w:r>
      <w:r w:rsidR="00EF7ABF" w:rsidRPr="00610BA6">
        <w:rPr>
          <w:rFonts w:cstheme="minorHAnsi"/>
          <w:b/>
          <w:lang w:val="fr-FR"/>
        </w:rPr>
        <w:t>(</w:t>
      </w:r>
      <w:hyperlink r:id="rId10" w:tgtFrame="_blank" w:tooltip="COM/2016/396" w:history="1">
        <w:r w:rsidR="00EF7ABF" w:rsidRPr="00610BA6">
          <w:rPr>
            <w:rStyle w:val="Hyperlink"/>
            <w:rFonts w:cstheme="minorHAnsi"/>
            <w:b/>
            <w:color w:val="8D0C88"/>
            <w:lang w:val="fr-FR"/>
          </w:rPr>
          <w:t>COM/2016/396</w:t>
        </w:r>
      </w:hyperlink>
      <w:r w:rsidR="00EF7ABF" w:rsidRPr="00610BA6">
        <w:rPr>
          <w:rFonts w:cstheme="minorHAnsi"/>
          <w:b/>
          <w:lang w:val="fr-FR"/>
        </w:rPr>
        <w:t>)</w:t>
      </w:r>
      <w:r w:rsidR="00EF7ABF" w:rsidRPr="00610BA6">
        <w:rPr>
          <w:rStyle w:val="FootnoteReference"/>
          <w:rFonts w:cstheme="minorHAnsi"/>
          <w:b/>
          <w:lang w:val="fr-FR"/>
        </w:rPr>
        <w:footnoteReference w:id="1"/>
      </w:r>
      <w:r w:rsidR="000F1CE3" w:rsidRPr="00610BA6">
        <w:rPr>
          <w:rFonts w:cstheme="minorHAnsi"/>
          <w:b/>
          <w:lang w:val="fr-FR"/>
        </w:rPr>
        <w:t xml:space="preserve"> </w:t>
      </w:r>
    </w:p>
    <w:p w:rsidR="0072602F" w:rsidRPr="00610BA6" w:rsidRDefault="0072602F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0F1CE3" w:rsidRPr="00610BA6" w:rsidRDefault="00A8525F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Ju</w:t>
      </w:r>
      <w:r w:rsidR="00F739C0" w:rsidRPr="00610BA6">
        <w:rPr>
          <w:rFonts w:cstheme="minorHAnsi"/>
          <w:b/>
          <w:lang w:val="fr-FR"/>
        </w:rPr>
        <w:t>illet</w:t>
      </w:r>
      <w:r w:rsidRPr="00610BA6">
        <w:rPr>
          <w:rFonts w:cstheme="minorHAnsi"/>
          <w:b/>
          <w:lang w:val="fr-FR"/>
        </w:rPr>
        <w:t xml:space="preserve"> </w:t>
      </w:r>
      <w:r w:rsidR="000F1CE3" w:rsidRPr="00610BA6">
        <w:rPr>
          <w:rFonts w:cstheme="minorHAnsi"/>
          <w:b/>
          <w:lang w:val="fr-FR"/>
        </w:rPr>
        <w:t>201</w:t>
      </w:r>
      <w:r w:rsidR="002E6A93" w:rsidRPr="00610BA6">
        <w:rPr>
          <w:rFonts w:cstheme="minorHAnsi"/>
          <w:b/>
          <w:lang w:val="fr-FR"/>
        </w:rPr>
        <w:t>6</w:t>
      </w:r>
    </w:p>
    <w:p w:rsidR="00F739C0" w:rsidRPr="00610BA6" w:rsidRDefault="00F739C0" w:rsidP="00F739C0">
      <w:pPr>
        <w:rPr>
          <w:rFonts w:cstheme="minorHAnsi"/>
          <w:b/>
          <w:lang w:val="fr-FR"/>
        </w:rPr>
      </w:pPr>
    </w:p>
    <w:p w:rsidR="00936E88" w:rsidRPr="00610BA6" w:rsidRDefault="00936E88" w:rsidP="00936E88">
      <w:pPr>
        <w:spacing w:before="100" w:beforeAutospacing="1" w:after="100" w:afterAutospacing="1" w:line="276" w:lineRule="auto"/>
        <w:jc w:val="both"/>
        <w:rPr>
          <w:rFonts w:cstheme="minorHAnsi"/>
          <w:b/>
          <w:i/>
          <w:color w:val="808080" w:themeColor="background1" w:themeShade="80"/>
          <w:lang w:val="fr-FR"/>
        </w:rPr>
      </w:pPr>
      <w:r w:rsidRPr="00610BA6">
        <w:rPr>
          <w:rFonts w:cstheme="minorHAnsi"/>
          <w:b/>
          <w:i/>
          <w:color w:val="808080" w:themeColor="background1" w:themeShade="80"/>
          <w:lang w:val="fr-FR"/>
        </w:rPr>
        <w:t>Note sur le processus de rédaction d’avis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Au cours des années précédentes, le CCEOS a répondu à la fois au «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d</w:t>
      </w:r>
      <w:r w:rsidRPr="00610BA6">
        <w:rPr>
          <w:rFonts w:cstheme="minorHAnsi"/>
          <w:i/>
          <w:color w:val="808080" w:themeColor="background1" w:themeShade="80"/>
          <w:lang w:val="fr-FR"/>
        </w:rPr>
        <w:t>ocument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orientation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»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(à savoir la consultation de la CE sur les TAC)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puis de nouveau à la proposition de TAC elle-même,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</w:t>
      </w:r>
      <w:r w:rsidRPr="00610BA6">
        <w:rPr>
          <w:rFonts w:cstheme="minorHAnsi"/>
          <w:i/>
          <w:color w:val="808080" w:themeColor="background1" w:themeShade="80"/>
          <w:lang w:val="fr-FR"/>
        </w:rPr>
        <w:t>écembre</w:t>
      </w:r>
      <w:r w:rsidR="00F253D0">
        <w:rPr>
          <w:rStyle w:val="FootnoteReference"/>
          <w:rFonts w:cstheme="minorHAnsi"/>
          <w:i/>
          <w:color w:val="808080" w:themeColor="background1" w:themeShade="80"/>
          <w:lang w:val="fr-FR"/>
        </w:rPr>
        <w:footnoteReference w:id="2"/>
      </w:r>
      <w:r w:rsidRPr="00610BA6">
        <w:rPr>
          <w:rFonts w:cstheme="minorHAnsi"/>
          <w:i/>
          <w:color w:val="808080" w:themeColor="background1" w:themeShade="80"/>
          <w:lang w:val="fr-FR"/>
        </w:rPr>
        <w:t>. La suggestion émise par le Comité exécuti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f à l’attention du CC 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lors de la réunion de Paris (2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fé</w:t>
      </w:r>
      <w:r w:rsidRPr="00610BA6">
        <w:rPr>
          <w:rFonts w:cstheme="minorHAnsi"/>
          <w:i/>
          <w:color w:val="808080" w:themeColor="background1" w:themeShade="80"/>
          <w:lang w:val="fr-FR"/>
        </w:rPr>
        <w:t>vrier 2016) était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être efficace et proactif et d’apporter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une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contribution à la proposition de TAC en cours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élaboration, en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 xml:space="preserve">prenant en considération </w:t>
      </w:r>
      <w:r w:rsidRPr="00610BA6">
        <w:rPr>
          <w:rFonts w:cstheme="minorHAnsi"/>
          <w:i/>
          <w:color w:val="808080" w:themeColor="background1" w:themeShade="80"/>
          <w:lang w:val="fr-FR"/>
        </w:rPr>
        <w:t>la consultation de la CE et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avis du CIEM dans ce processus. En ce qui concerne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l</w:t>
      </w:r>
      <w:r w:rsidRPr="00610BA6">
        <w:rPr>
          <w:rFonts w:cstheme="minorHAnsi"/>
          <w:i/>
          <w:color w:val="808080" w:themeColor="background1" w:themeShade="80"/>
          <w:lang w:val="fr-FR"/>
        </w:rPr>
        <w:t>es stocks pour lesquels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avis du CIEM sera émis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le CC préparera sa réponse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n</w:t>
      </w:r>
      <w:r w:rsidRPr="00610BA6">
        <w:rPr>
          <w:rFonts w:cstheme="minorHAnsi"/>
          <w:i/>
          <w:color w:val="808080" w:themeColor="background1" w:themeShade="80"/>
          <w:lang w:val="fr-FR"/>
        </w:rPr>
        <w:t>ovembre.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Dans ce contexte, le Comité exécutif ne prévoit pas la rédaction d’un avis précis portant sur la proposition de TAC elle-même, à moins qu’il ne faille prendre en compte des questions régionales spécifiques.</w:t>
      </w:r>
    </w:p>
    <w:p w:rsidR="005011DC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Les Groupes de Travail sont invités à réfléchir à des questions spécifiques concernant les espèces et la gestion de leur sous-région respective lors des réunions du GT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de j</w:t>
      </w:r>
      <w:r w:rsidRPr="00610BA6">
        <w:rPr>
          <w:rFonts w:cstheme="minorHAnsi"/>
          <w:i/>
          <w:color w:val="808080" w:themeColor="background1" w:themeShade="80"/>
          <w:lang w:val="fr-FR"/>
        </w:rPr>
        <w:t>uillet</w:t>
      </w:r>
      <w:r w:rsidR="005011DC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CA3DAA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 CCEOS espère finaliser la réponse à la consultation avant le 1er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s</w:t>
      </w:r>
      <w:r w:rsidRPr="00610BA6">
        <w:rPr>
          <w:rFonts w:cstheme="minorHAnsi"/>
          <w:i/>
          <w:color w:val="808080" w:themeColor="background1" w:themeShade="80"/>
          <w:lang w:val="fr-FR"/>
        </w:rPr>
        <w:t>eptembre 2016</w:t>
      </w:r>
      <w:r w:rsidR="00CA3DAA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8716A4" w:rsidRPr="00610BA6" w:rsidRDefault="008716A4" w:rsidP="00F739C0">
      <w:pPr>
        <w:spacing w:after="200" w:line="276" w:lineRule="auto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br w:type="page"/>
      </w:r>
    </w:p>
    <w:p w:rsidR="00AB48D4" w:rsidRPr="00610BA6" w:rsidRDefault="00A970F7" w:rsidP="00A71D7B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lastRenderedPageBreak/>
        <w:t>Observations générales</w:t>
      </w:r>
    </w:p>
    <w:p w:rsidR="008716A4" w:rsidRPr="00610BA6" w:rsidRDefault="00A970F7" w:rsidP="00541E73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Le CCEOS souhaite </w:t>
      </w:r>
      <w:r w:rsidR="009E7B35" w:rsidRPr="00610BA6">
        <w:rPr>
          <w:rFonts w:cstheme="minorHAnsi"/>
          <w:lang w:val="fr-FR"/>
        </w:rPr>
        <w:t>faire de</w:t>
      </w:r>
      <w:r w:rsidRPr="00610BA6">
        <w:rPr>
          <w:rFonts w:cstheme="minorHAnsi"/>
          <w:lang w:val="fr-FR"/>
        </w:rPr>
        <w:t xml:space="preserve"> cet avis sa contribution majeure </w:t>
      </w:r>
      <w:r w:rsidR="009E7B35" w:rsidRPr="00610BA6">
        <w:rPr>
          <w:rFonts w:cstheme="minorHAnsi"/>
          <w:lang w:val="fr-FR"/>
        </w:rPr>
        <w:t>à</w:t>
      </w:r>
      <w:r w:rsidRPr="00610BA6">
        <w:rPr>
          <w:rFonts w:cstheme="minorHAnsi"/>
          <w:lang w:val="fr-FR"/>
        </w:rPr>
        <w:t xml:space="preserve"> la r</w:t>
      </w:r>
      <w:r w:rsidR="00F0216E" w:rsidRPr="00610BA6">
        <w:rPr>
          <w:rFonts w:cstheme="minorHAnsi"/>
          <w:lang w:val="fr-FR"/>
        </w:rPr>
        <w:t>é</w:t>
      </w:r>
      <w:r w:rsidRPr="00610BA6">
        <w:rPr>
          <w:rFonts w:cstheme="minorHAnsi"/>
          <w:lang w:val="fr-FR"/>
        </w:rPr>
        <w:t>flexion de la CE et des États membres concernés sur les possibilités de pêche dans les eaux occidentales septentrionales.</w:t>
      </w:r>
      <w:r w:rsidR="00DB784C" w:rsidRPr="00610BA6">
        <w:rPr>
          <w:rFonts w:cstheme="minorHAnsi"/>
          <w:lang w:val="fr-FR"/>
        </w:rPr>
        <w:t xml:space="preserve"> </w:t>
      </w:r>
    </w:p>
    <w:p w:rsidR="00CA3DAA" w:rsidRPr="00610BA6" w:rsidRDefault="004347A4" w:rsidP="008716A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À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 finaliser par le Comité e</w:t>
      </w:r>
      <w:r w:rsidR="00A970F7" w:rsidRPr="00610BA6">
        <w:rPr>
          <w:rFonts w:cstheme="minorHAnsi"/>
          <w:i/>
          <w:color w:val="808080" w:themeColor="background1" w:themeShade="80"/>
          <w:lang w:val="fr-FR"/>
        </w:rPr>
        <w:t>xécutif</w:t>
      </w:r>
      <w:r w:rsidR="00541E73" w:rsidRPr="00610BA6">
        <w:rPr>
          <w:rFonts w:cstheme="minorHAnsi"/>
          <w:i/>
          <w:color w:val="808080" w:themeColor="background1" w:themeShade="80"/>
          <w:lang w:val="fr-FR"/>
        </w:rPr>
        <w:t xml:space="preserve"> </w:t>
      </w:r>
    </w:p>
    <w:p w:rsidR="0055635D" w:rsidRPr="00610BA6" w:rsidRDefault="00A970F7" w:rsidP="008E2B44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D</w:t>
      </w:r>
      <w:r w:rsidR="00605648" w:rsidRPr="00610BA6">
        <w:rPr>
          <w:rFonts w:cstheme="minorHAnsi"/>
          <w:b/>
          <w:lang w:val="fr-FR"/>
        </w:rPr>
        <w:t xml:space="preserve">ocument </w:t>
      </w:r>
      <w:r w:rsidRPr="00610BA6">
        <w:rPr>
          <w:rFonts w:cstheme="minorHAnsi"/>
          <w:b/>
          <w:lang w:val="fr-FR"/>
        </w:rPr>
        <w:t>de consultation</w:t>
      </w:r>
    </w:p>
    <w:p w:rsidR="00F57B46" w:rsidRPr="00610BA6" w:rsidRDefault="00A970F7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Plan </w:t>
      </w:r>
      <w:r w:rsidR="004347A4" w:rsidRPr="00610BA6">
        <w:rPr>
          <w:rFonts w:cstheme="minorHAnsi"/>
          <w:u w:val="single"/>
          <w:lang w:val="fr-FR"/>
        </w:rPr>
        <w:t>pluriannuel</w:t>
      </w:r>
      <w:r w:rsidRPr="00610BA6">
        <w:rPr>
          <w:rFonts w:cstheme="minorHAnsi"/>
          <w:u w:val="single"/>
          <w:lang w:val="fr-FR"/>
        </w:rPr>
        <w:t xml:space="preserve"> –</w:t>
      </w:r>
      <w:r w:rsidR="004347A4" w:rsidRPr="00610BA6">
        <w:rPr>
          <w:rFonts w:cstheme="minorHAnsi"/>
          <w:u w:val="single"/>
          <w:lang w:val="fr-FR"/>
        </w:rPr>
        <w:t xml:space="preserve"> U</w:t>
      </w:r>
      <w:r w:rsidRPr="00610BA6">
        <w:rPr>
          <w:rFonts w:cstheme="minorHAnsi"/>
          <w:u w:val="single"/>
          <w:lang w:val="fr-FR"/>
        </w:rPr>
        <w:t xml:space="preserve">tilisation des séries F </w:t>
      </w:r>
    </w:p>
    <w:p w:rsidR="00F57B46" w:rsidRPr="00610BA6" w:rsidRDefault="00A970F7" w:rsidP="00F57B46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Avis des Pêcheries mixtes</w:t>
      </w:r>
      <w:r w:rsidR="00F57B4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pour la </w:t>
      </w:r>
      <w:r w:rsidR="00610BA6" w:rsidRPr="00610BA6">
        <w:rPr>
          <w:rFonts w:cstheme="minorHAnsi"/>
          <w:lang w:val="fr-FR"/>
        </w:rPr>
        <w:t>m</w:t>
      </w:r>
      <w:r w:rsidRPr="00610BA6">
        <w:rPr>
          <w:rFonts w:cstheme="minorHAnsi"/>
          <w:lang w:val="fr-FR"/>
        </w:rPr>
        <w:t>er Celtique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application de cette approche dans les EOS</w:t>
      </w:r>
    </w:p>
    <w:p w:rsidR="008E2B44" w:rsidRPr="00610BA6" w:rsidRDefault="00F0216E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</w:t>
      </w:r>
      <w:r w:rsidR="008E2B44" w:rsidRPr="00610BA6">
        <w:rPr>
          <w:rFonts w:cstheme="minorHAnsi"/>
          <w:u w:val="single"/>
          <w:lang w:val="fr-FR"/>
        </w:rPr>
        <w:t xml:space="preserve"> </w:t>
      </w:r>
      <w:r w:rsidR="00EE7AA1" w:rsidRPr="00610BA6">
        <w:rPr>
          <w:rFonts w:cstheme="minorHAnsi"/>
          <w:u w:val="single"/>
          <w:lang w:val="fr-FR"/>
        </w:rPr>
        <w:t>de l’</w:t>
      </w:r>
      <w:r w:rsidRPr="00610BA6">
        <w:rPr>
          <w:rFonts w:cstheme="minorHAnsi"/>
          <w:u w:val="single"/>
          <w:lang w:val="fr-FR"/>
        </w:rPr>
        <w:t>é</w:t>
      </w:r>
      <w:r w:rsidR="00EE7AA1" w:rsidRPr="00610BA6">
        <w:rPr>
          <w:rFonts w:cstheme="minorHAnsi"/>
          <w:u w:val="single"/>
          <w:lang w:val="fr-FR"/>
        </w:rPr>
        <w:t xml:space="preserve">tat des </w:t>
      </w:r>
      <w:r w:rsidRPr="00610BA6">
        <w:rPr>
          <w:rFonts w:cstheme="minorHAnsi"/>
          <w:u w:val="single"/>
          <w:lang w:val="fr-FR"/>
        </w:rPr>
        <w:t>s</w:t>
      </w:r>
      <w:r w:rsidR="008E2B44" w:rsidRPr="00610BA6">
        <w:rPr>
          <w:rFonts w:cstheme="minorHAnsi"/>
          <w:u w:val="single"/>
          <w:lang w:val="fr-FR"/>
        </w:rPr>
        <w:t>tocks</w:t>
      </w:r>
    </w:p>
    <w:p w:rsidR="008E2B44" w:rsidRPr="00610BA6" w:rsidRDefault="00F0216E" w:rsidP="008E2B44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fondé</w:t>
      </w:r>
      <w:r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F57B46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</w:t>
      </w:r>
      <w:r w:rsidR="00E71741" w:rsidRPr="00610BA6">
        <w:rPr>
          <w:rFonts w:cstheme="minorHAnsi"/>
          <w:u w:val="single"/>
          <w:lang w:val="fr-FR"/>
        </w:rPr>
        <w:t xml:space="preserve">itions de </w:t>
      </w:r>
      <w:r w:rsidRPr="00610BA6">
        <w:rPr>
          <w:rFonts w:cstheme="minorHAnsi"/>
          <w:u w:val="single"/>
          <w:lang w:val="fr-FR"/>
        </w:rPr>
        <w:t>TAC</w:t>
      </w:r>
      <w:r w:rsidR="00E71741" w:rsidRPr="00610BA6">
        <w:rPr>
          <w:rFonts w:cstheme="minorHAnsi"/>
          <w:u w:val="single"/>
          <w:lang w:val="fr-FR"/>
        </w:rPr>
        <w:t xml:space="preserve"> pour 2017</w:t>
      </w:r>
    </w:p>
    <w:p w:rsidR="00F57B46" w:rsidRPr="00610BA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E71741" w:rsidRPr="00610BA6">
        <w:rPr>
          <w:rFonts w:cstheme="minorHAnsi"/>
          <w:lang w:val="fr-FR"/>
        </w:rPr>
        <w:t xml:space="preserve">avec évaluation du </w:t>
      </w:r>
      <w:r w:rsidR="00610BA6" w:rsidRPr="00610BA6">
        <w:rPr>
          <w:rFonts w:cstheme="minorHAnsi"/>
          <w:lang w:val="fr-FR"/>
        </w:rPr>
        <w:t>RMD ;</w:t>
      </w:r>
    </w:p>
    <w:p w:rsidR="00F41A1E" w:rsidRPr="00610BA6" w:rsidRDefault="00E71741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Autres</w:t>
      </w:r>
      <w:r w:rsidR="00F41A1E" w:rsidRPr="00610BA6">
        <w:rPr>
          <w:rFonts w:cstheme="minorHAnsi"/>
          <w:lang w:val="fr-FR"/>
        </w:rPr>
        <w:t xml:space="preserve"> stocks</w:t>
      </w:r>
      <w:r w:rsidR="00610BA6" w:rsidRPr="00610BA6">
        <w:rPr>
          <w:rFonts w:cstheme="minorHAnsi"/>
          <w:lang w:val="fr-FR"/>
        </w:rPr>
        <w:t> :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données disponibles pour d</w:t>
      </w:r>
      <w:r w:rsidR="00F0216E" w:rsidRPr="00610BA6">
        <w:rPr>
          <w:rFonts w:cstheme="minorHAnsi"/>
          <w:lang w:val="fr-FR"/>
        </w:rPr>
        <w:t>é</w:t>
      </w:r>
      <w:r w:rsidR="00276AC6" w:rsidRPr="00610BA6">
        <w:rPr>
          <w:rFonts w:cstheme="minorHAnsi"/>
          <w:lang w:val="fr-FR"/>
        </w:rPr>
        <w:t>terminer les RMD approximatifs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tendances</w:t>
      </w:r>
      <w:r w:rsidRPr="00610BA6">
        <w:rPr>
          <w:rFonts w:cstheme="minorHAnsi"/>
          <w:lang w:val="fr-FR"/>
        </w:rPr>
        <w:t xml:space="preserve"> </w:t>
      </w:r>
      <w:r w:rsidR="00276AC6" w:rsidRPr="00610BA6">
        <w:rPr>
          <w:rFonts w:cstheme="minorHAnsi"/>
          <w:lang w:val="fr-FR"/>
        </w:rPr>
        <w:t xml:space="preserve">évaluées par </w:t>
      </w:r>
      <w:r w:rsidR="00F0216E" w:rsidRPr="00610BA6">
        <w:rPr>
          <w:rFonts w:cstheme="minorHAnsi"/>
          <w:lang w:val="fr-FR"/>
        </w:rPr>
        <w:t xml:space="preserve">des </w:t>
      </w:r>
      <w:r w:rsidR="00276AC6" w:rsidRPr="00610BA6">
        <w:rPr>
          <w:rFonts w:cstheme="minorHAnsi"/>
          <w:lang w:val="fr-FR"/>
        </w:rPr>
        <w:t>études ou avec des séries de captures chronologiques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présomption de stabilité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 xml:space="preserve">avec avis </w:t>
      </w:r>
      <w:r w:rsidR="00610BA6" w:rsidRPr="00610BA6">
        <w:rPr>
          <w:rFonts w:cstheme="minorHAnsi"/>
          <w:lang w:val="fr-FR"/>
        </w:rPr>
        <w:t>biologiques ;</w:t>
      </w:r>
    </w:p>
    <w:p w:rsidR="00F41A1E" w:rsidRPr="00610BA6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TAC</w:t>
      </w:r>
      <w:r w:rsidR="00F0216E" w:rsidRPr="00610BA6">
        <w:rPr>
          <w:rFonts w:cstheme="minorHAnsi"/>
          <w:lang w:val="fr-FR"/>
        </w:rPr>
        <w:t xml:space="preserve"> et</w:t>
      </w:r>
      <w:r w:rsidR="00276AC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obligation </w:t>
      </w:r>
      <w:r w:rsidR="00276AC6" w:rsidRPr="00610BA6">
        <w:rPr>
          <w:rFonts w:cstheme="minorHAnsi"/>
          <w:lang w:val="fr-FR"/>
        </w:rPr>
        <w:t xml:space="preserve">de débarquement </w:t>
      </w:r>
      <w:r w:rsidR="00F0216E" w:rsidRPr="00610BA6">
        <w:rPr>
          <w:rFonts w:cstheme="minorHAnsi"/>
          <w:lang w:val="fr-FR"/>
        </w:rPr>
        <w:t>de</w:t>
      </w:r>
      <w:r w:rsidR="00276AC6" w:rsidRPr="00610BA6">
        <w:rPr>
          <w:rFonts w:cstheme="minorHAnsi"/>
          <w:lang w:val="fr-FR"/>
        </w:rPr>
        <w:t xml:space="preserve"> toutes les captures</w:t>
      </w:r>
      <w:r w:rsidR="007F4FAE" w:rsidRPr="00610BA6">
        <w:rPr>
          <w:rFonts w:cstheme="minorHAnsi"/>
          <w:lang w:val="fr-FR"/>
        </w:rPr>
        <w:t>.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la méthodologie proposée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– 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fondé</w:t>
      </w:r>
      <w:r w:rsidR="00A87BD8"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une contribution du GT</w:t>
      </w:r>
      <w:r w:rsidR="00BE61FF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voir ci-dess</w:t>
      </w:r>
      <w:r w:rsidRPr="00610BA6">
        <w:rPr>
          <w:rFonts w:cstheme="minorHAnsi"/>
          <w:i/>
          <w:color w:val="808080" w:themeColor="background1" w:themeShade="80"/>
          <w:lang w:val="fr-FR"/>
        </w:rPr>
        <w:t>ous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276AC6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Rapport sur la mise en </w:t>
      </w:r>
      <w:r w:rsidR="004347A4" w:rsidRPr="00610BA6">
        <w:rPr>
          <w:rFonts w:cstheme="minorHAnsi"/>
          <w:u w:val="single"/>
          <w:lang w:val="fr-FR"/>
        </w:rPr>
        <w:t>œuvre</w:t>
      </w:r>
      <w:r w:rsidRPr="00610BA6">
        <w:rPr>
          <w:rFonts w:cstheme="minorHAnsi"/>
          <w:u w:val="single"/>
          <w:lang w:val="fr-FR"/>
        </w:rPr>
        <w:t xml:space="preserve"> de l’obligation de débarquement</w:t>
      </w:r>
    </w:p>
    <w:p w:rsidR="00F0216E" w:rsidRPr="00610BA6" w:rsidRDefault="00F0216E" w:rsidP="00F0216E">
      <w:pPr>
        <w:spacing w:before="100" w:beforeAutospacing="1" w:after="100" w:afterAutospacing="1" w:line="276" w:lineRule="auto"/>
        <w:rPr>
          <w:rFonts w:cstheme="minorHAnsi"/>
          <w:i/>
          <w:color w:val="808080" w:themeColor="background1" w:themeShade="80"/>
          <w:lang w:val="fr-FR"/>
        </w:rPr>
        <w:sectPr w:rsidR="00F0216E" w:rsidRPr="00610BA6" w:rsidSect="003D06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génér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ales 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</w:p>
    <w:p w:rsidR="00BE61FF" w:rsidRPr="00610BA6" w:rsidRDefault="00F0216E" w:rsidP="00375071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Observation</w:t>
      </w:r>
      <w:r w:rsidR="00375071" w:rsidRPr="00610BA6">
        <w:rPr>
          <w:rFonts w:cstheme="minorHAnsi"/>
          <w:b/>
          <w:lang w:val="fr-FR"/>
        </w:rPr>
        <w:t>s spécifiques par Région</w:t>
      </w:r>
      <w:r w:rsidR="00610BA6" w:rsidRPr="00610BA6">
        <w:rPr>
          <w:rFonts w:cstheme="minorHAnsi"/>
          <w:b/>
          <w:lang w:val="fr-FR"/>
        </w:rPr>
        <w:t> :</w:t>
      </w:r>
    </w:p>
    <w:p w:rsidR="004E1497" w:rsidRDefault="00F0216E" w:rsidP="00F0216E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 xml:space="preserve">Ouest de </w:t>
      </w:r>
      <w:r w:rsidR="00610BA6" w:rsidRPr="00610BA6">
        <w:rPr>
          <w:rFonts w:cstheme="minorHAnsi"/>
          <w:b/>
          <w:lang w:val="fr-FR"/>
        </w:rPr>
        <w:t>l’Écosse ;</w:t>
      </w:r>
      <w:r w:rsidRPr="00610BA6">
        <w:rPr>
          <w:rFonts w:cstheme="minorHAnsi"/>
          <w:b/>
          <w:lang w:val="fr-FR"/>
        </w:rPr>
        <w:t xml:space="preserve"> zones CIEM </w:t>
      </w:r>
      <w:proofErr w:type="spellStart"/>
      <w:r w:rsidRPr="00610BA6">
        <w:rPr>
          <w:rFonts w:cstheme="minorHAnsi"/>
          <w:b/>
          <w:lang w:val="fr-FR"/>
        </w:rPr>
        <w:t>Vb</w:t>
      </w:r>
      <w:proofErr w:type="spellEnd"/>
      <w:r w:rsidRPr="00610BA6">
        <w:rPr>
          <w:rFonts w:cstheme="minorHAnsi"/>
          <w:b/>
          <w:lang w:val="fr-FR"/>
        </w:rPr>
        <w:t xml:space="preserve"> (CE) VIa, </w:t>
      </w:r>
      <w:proofErr w:type="spellStart"/>
      <w:r w:rsidRPr="00610BA6">
        <w:rPr>
          <w:rFonts w:cstheme="minorHAnsi"/>
          <w:b/>
          <w:lang w:val="fr-FR"/>
        </w:rPr>
        <w:t>VIb</w:t>
      </w:r>
      <w:proofErr w:type="spellEnd"/>
      <w:r w:rsidRPr="00610BA6">
        <w:rPr>
          <w:rFonts w:cstheme="minorHAnsi"/>
          <w:b/>
          <w:lang w:val="fr-FR"/>
        </w:rPr>
        <w:t xml:space="preserve"> et approches occidentales</w:t>
      </w:r>
    </w:p>
    <w:p w:rsidR="00F0216E" w:rsidRPr="004E1497" w:rsidRDefault="00F0216E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lang w:val="fr-FR"/>
        </w:rPr>
      </w:pPr>
      <w:r w:rsidRPr="004E1497">
        <w:rPr>
          <w:rFonts w:cstheme="minorHAnsi"/>
          <w:b/>
          <w:lang w:val="fr-FR"/>
        </w:rPr>
        <w:t>[GT 1]</w:t>
      </w:r>
    </w:p>
    <w:p w:rsidR="00F0216E" w:rsidRPr="00610BA6" w:rsidRDefault="00F0216E" w:rsidP="00F0216E">
      <w:pPr>
        <w:spacing w:before="100" w:before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 de l’état des stocks</w:t>
      </w:r>
    </w:p>
    <w:p w:rsidR="00A8525F" w:rsidRPr="00610BA6" w:rsidRDefault="00375071" w:rsidP="00BE61FF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Ouest de l’</w:t>
      </w:r>
      <w:r w:rsidR="009E7B35" w:rsidRPr="00610BA6">
        <w:rPr>
          <w:rFonts w:cstheme="minorHAnsi"/>
          <w:lang w:val="fr-FR"/>
        </w:rPr>
        <w:t>Éc</w:t>
      </w:r>
      <w:r w:rsidRPr="00610BA6">
        <w:rPr>
          <w:rFonts w:cstheme="minorHAnsi"/>
          <w:lang w:val="fr-FR"/>
        </w:rPr>
        <w:t>osse</w:t>
      </w:r>
    </w:p>
    <w:p w:rsidR="00BE61FF" w:rsidRPr="00610BA6" w:rsidRDefault="00375071" w:rsidP="00BE61FF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Espèces d’eaux profondes</w:t>
      </w:r>
    </w:p>
    <w:p w:rsidR="00BE61FF" w:rsidRPr="00610BA6" w:rsidRDefault="00BE61FF" w:rsidP="00BE61FF">
      <w:pPr>
        <w:spacing w:line="276" w:lineRule="auto"/>
        <w:jc w:val="both"/>
        <w:rPr>
          <w:rFonts w:cstheme="minorHAnsi"/>
          <w:u w:val="single"/>
          <w:lang w:val="fr-FR"/>
        </w:rPr>
      </w:pPr>
    </w:p>
    <w:p w:rsidR="009E7B35" w:rsidRPr="00610BA6" w:rsidRDefault="009E7B35" w:rsidP="009E7B35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Propositions de TAC pour 2017</w:t>
      </w:r>
    </w:p>
    <w:p w:rsidR="00BE61FF" w:rsidRPr="00610BA6" w:rsidRDefault="00F0216E" w:rsidP="00BE61FF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BE61FF" w:rsidRPr="00610BA6">
        <w:rPr>
          <w:rFonts w:cstheme="minorHAnsi"/>
          <w:i/>
          <w:color w:val="808080" w:themeColor="background1" w:themeShade="80"/>
          <w:lang w:val="fr-FR"/>
        </w:rPr>
        <w:t>s</w:t>
      </w:r>
      <w:r w:rsidR="009E7B35" w:rsidRPr="00610BA6">
        <w:rPr>
          <w:rFonts w:cstheme="minorHAnsi"/>
          <w:i/>
          <w:color w:val="808080" w:themeColor="background1" w:themeShade="80"/>
          <w:lang w:val="fr-FR"/>
        </w:rPr>
        <w:t xml:space="preserve"> sur la méthodologie proposée et relative à la sous-région du GT.</w:t>
      </w:r>
      <w:r w:rsidR="00BE61FF" w:rsidRPr="00610BA6">
        <w:rPr>
          <w:rFonts w:cstheme="minorHAnsi"/>
          <w:i/>
          <w:color w:val="808080" w:themeColor="background1" w:themeShade="80"/>
          <w:lang w:val="fr-FR"/>
        </w:rPr>
        <w:t xml:space="preserve"> </w:t>
      </w:r>
    </w:p>
    <w:p w:rsidR="009E7B35" w:rsidRPr="00610BA6" w:rsidRDefault="009E7B35" w:rsidP="009E7B35">
      <w:pPr>
        <w:spacing w:line="276" w:lineRule="auto"/>
        <w:jc w:val="both"/>
        <w:rPr>
          <w:rFonts w:cstheme="minorHAnsi"/>
          <w:u w:val="single"/>
          <w:lang w:val="fr-FR"/>
        </w:rPr>
      </w:pPr>
    </w:p>
    <w:p w:rsidR="009E7B35" w:rsidRPr="00610BA6" w:rsidRDefault="009E7B35" w:rsidP="009E7B35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Rapport sur la mise en œuvre de l</w:t>
      </w:r>
      <w:r w:rsidR="00610BA6" w:rsidRPr="00610BA6">
        <w:rPr>
          <w:rFonts w:cstheme="minorHAnsi"/>
          <w:u w:val="single"/>
          <w:lang w:val="fr-FR"/>
        </w:rPr>
        <w:t>’</w:t>
      </w:r>
      <w:r w:rsidRPr="00610BA6">
        <w:rPr>
          <w:rFonts w:cstheme="minorHAnsi"/>
          <w:u w:val="single"/>
          <w:lang w:val="fr-FR"/>
        </w:rPr>
        <w:t>obligation de débarquement</w:t>
      </w:r>
    </w:p>
    <w:p w:rsidR="009E7B35" w:rsidRPr="00610BA6" w:rsidRDefault="009E7B35" w:rsidP="00BE61FF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Fourniture d’informations sur les modifications spécifiques des pratiques de pêche concernées p</w:t>
      </w:r>
      <w:r w:rsidR="00A87BD8" w:rsidRPr="00610BA6">
        <w:rPr>
          <w:rFonts w:cstheme="minorHAnsi"/>
          <w:i/>
          <w:color w:val="808080" w:themeColor="background1" w:themeShade="80"/>
          <w:lang w:val="fr-FR"/>
        </w:rPr>
        <w:t>ou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r la fixation de TAC </w:t>
      </w:r>
    </w:p>
    <w:p w:rsidR="00DA647A" w:rsidRPr="00610BA6" w:rsidRDefault="00BE61FF" w:rsidP="00BE61FF">
      <w:pPr>
        <w:spacing w:before="100" w:beforeAutospacing="1" w:after="100" w:afterAutospacing="1" w:line="276" w:lineRule="auto"/>
        <w:jc w:val="both"/>
        <w:rPr>
          <w:rFonts w:cstheme="minorHAnsi"/>
          <w:i/>
          <w:color w:val="FF0000"/>
          <w:lang w:val="fr-FR"/>
        </w:rPr>
      </w:pPr>
      <w:r w:rsidRPr="00610BA6">
        <w:rPr>
          <w:rFonts w:cstheme="minorHAnsi"/>
          <w:i/>
          <w:color w:val="FF0000"/>
          <w:lang w:val="fr-FR"/>
        </w:rPr>
        <w:t>NB</w:t>
      </w:r>
      <w:r w:rsidR="00610BA6" w:rsidRPr="00610BA6">
        <w:rPr>
          <w:rFonts w:cstheme="minorHAnsi"/>
          <w:i/>
          <w:color w:val="FF0000"/>
          <w:lang w:val="fr-FR"/>
        </w:rPr>
        <w:t> :</w:t>
      </w:r>
      <w:r w:rsidRPr="00610BA6">
        <w:rPr>
          <w:rFonts w:cstheme="minorHAnsi"/>
          <w:i/>
          <w:color w:val="FF0000"/>
          <w:lang w:val="fr-FR"/>
        </w:rPr>
        <w:t xml:space="preserve"> </w:t>
      </w:r>
      <w:r w:rsidR="009E7B35" w:rsidRPr="00610BA6">
        <w:rPr>
          <w:rFonts w:cstheme="minorHAnsi"/>
          <w:i/>
          <w:color w:val="FF0000"/>
          <w:lang w:val="fr-FR"/>
        </w:rPr>
        <w:t xml:space="preserve">Merci de limiter vos </w:t>
      </w:r>
      <w:r w:rsidR="00F0216E" w:rsidRPr="00610BA6">
        <w:rPr>
          <w:rFonts w:cstheme="minorHAnsi"/>
          <w:i/>
          <w:color w:val="FF0000"/>
          <w:lang w:val="fr-FR"/>
        </w:rPr>
        <w:t>observation</w:t>
      </w:r>
      <w:r w:rsidR="009E7B35" w:rsidRPr="00610BA6">
        <w:rPr>
          <w:rFonts w:cstheme="minorHAnsi"/>
          <w:i/>
          <w:color w:val="FF0000"/>
          <w:lang w:val="fr-FR"/>
        </w:rPr>
        <w:t xml:space="preserve">s aux seules questions spécifiques à la sous-région </w:t>
      </w:r>
      <w:r w:rsidRPr="00610BA6">
        <w:rPr>
          <w:rFonts w:cstheme="minorHAnsi"/>
          <w:i/>
          <w:color w:val="FF0000"/>
          <w:lang w:val="fr-FR"/>
        </w:rPr>
        <w:t xml:space="preserve"> </w:t>
      </w:r>
    </w:p>
    <w:p w:rsidR="00B4776E" w:rsidRDefault="00B4776E">
      <w:pPr>
        <w:spacing w:after="200" w:line="276" w:lineRule="auto"/>
      </w:pPr>
      <w:r>
        <w:br w:type="page"/>
      </w:r>
    </w:p>
    <w:p w:rsidR="00F253D0" w:rsidRPr="00F57B46" w:rsidRDefault="004E1497" w:rsidP="00F253D0">
      <w:pPr>
        <w:spacing w:line="276" w:lineRule="auto"/>
        <w:jc w:val="both"/>
      </w:pPr>
      <w:r>
        <w:t xml:space="preserve">TACs </w:t>
      </w:r>
      <w:proofErr w:type="spellStart"/>
      <w:r>
        <w:t>e</w:t>
      </w:r>
      <w:r w:rsidR="00F253D0">
        <w:t>n</w:t>
      </w:r>
      <w:proofErr w:type="spellEnd"/>
      <w:r w:rsidR="00F253D0">
        <w:t xml:space="preserve"> VI: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1"/>
        <w:gridCol w:w="4116"/>
      </w:tblGrid>
      <w:tr w:rsidR="00F253D0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F253D0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F253D0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Zone</w:t>
            </w:r>
          </w:p>
        </w:tc>
        <w:tc>
          <w:tcPr>
            <w:tcW w:w="4116" w:type="dxa"/>
          </w:tcPr>
          <w:p w:rsidR="00F253D0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Commentaries</w:t>
            </w: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Béryx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Baudroies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>Sable noir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Lingue</w:t>
            </w:r>
            <w:proofErr w:type="spellEnd"/>
            <w:r w:rsidRPr="00C45218">
              <w:t xml:space="preserve"> </w:t>
            </w:r>
            <w:proofErr w:type="spellStart"/>
            <w:r w:rsidRPr="00C45218">
              <w:t>bleue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Cabillaud</w:t>
            </w:r>
            <w:proofErr w:type="spellEnd"/>
            <w:r w:rsidRPr="00C45218">
              <w:t xml:space="preserve"> 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VIa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Cabillaud</w:t>
            </w:r>
            <w:proofErr w:type="spellEnd"/>
            <w:r w:rsidRPr="00C45218">
              <w:t xml:space="preserve"> 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Requin</w:t>
            </w:r>
            <w:proofErr w:type="spellEnd"/>
            <w:r w:rsidRPr="00C45218">
              <w:t xml:space="preserve"> des grands </w:t>
            </w:r>
            <w:proofErr w:type="spellStart"/>
            <w:r w:rsidRPr="00C45218">
              <w:t>fonds</w:t>
            </w:r>
            <w:proofErr w:type="spellEnd"/>
            <w:r w:rsidRPr="00C45218">
              <w:t> 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Phycis</w:t>
            </w:r>
            <w:proofErr w:type="spellEnd"/>
            <w:r w:rsidRPr="00C45218">
              <w:t xml:space="preserve"> de fond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>Grande argentine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Aiglefin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Aiglefin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VIa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Merlu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Lingue</w:t>
            </w:r>
            <w:proofErr w:type="spellEnd"/>
            <w:r w:rsidRPr="00C45218">
              <w:t xml:space="preserve"> </w:t>
            </w:r>
            <w:proofErr w:type="spellStart"/>
            <w:r w:rsidRPr="00C45218">
              <w:t>franche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Cardine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Default="004E1497"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Conseils</w:t>
            </w:r>
            <w:proofErr w:type="spellEnd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de CIEM </w:t>
            </w:r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>Langoustine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</w:p>
        </w:tc>
        <w:tc>
          <w:tcPr>
            <w:tcW w:w="4116" w:type="dxa"/>
          </w:tcPr>
          <w:p w:rsidR="004E1497" w:rsidRDefault="004E1497"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Conseils</w:t>
            </w:r>
            <w:proofErr w:type="spellEnd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de CIEM </w:t>
            </w:r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AB74C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Hoplostète</w:t>
            </w:r>
            <w:proofErr w:type="spellEnd"/>
            <w:r w:rsidRPr="00C45218">
              <w:t xml:space="preserve"> rouge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lastRenderedPageBreak/>
              <w:t>Plie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 xml:space="preserve">Lieu </w:t>
            </w:r>
            <w:proofErr w:type="spellStart"/>
            <w:r w:rsidRPr="00C45218">
              <w:t>jaune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Dorade</w:t>
            </w:r>
            <w:proofErr w:type="spellEnd"/>
            <w:r w:rsidRPr="00C45218">
              <w:t xml:space="preserve"> rose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 xml:space="preserve">Grenadier de </w:t>
            </w:r>
            <w:proofErr w:type="spellStart"/>
            <w:r w:rsidRPr="00C45218">
              <w:t>roche</w:t>
            </w:r>
            <w:proofErr w:type="spellEnd"/>
            <w:r w:rsidRPr="00C45218">
              <w:t xml:space="preserve"> et Grenadier </w:t>
            </w:r>
            <w:proofErr w:type="spellStart"/>
            <w:r w:rsidRPr="00C45218">
              <w:t>berglax</w:t>
            </w:r>
            <w:proofErr w:type="spellEnd"/>
            <w:r w:rsidRPr="00C45218">
              <w:t xml:space="preserve"> 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>Lieu noire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Raies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r w:rsidRPr="00C45218">
              <w:t>Sole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Aiguillat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C45218" w:rsidRDefault="004E1497" w:rsidP="003176A8">
            <w:proofErr w:type="spellStart"/>
            <w:r w:rsidRPr="00C45218">
              <w:t>Brosme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Default="004E1497" w:rsidP="003176A8">
            <w:proofErr w:type="spellStart"/>
            <w:r w:rsidRPr="00C45218">
              <w:t>Merlan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6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F739C0" w:rsidRPr="00610BA6" w:rsidRDefault="00F739C0" w:rsidP="00F739C0">
      <w:pPr>
        <w:spacing w:after="200" w:line="276" w:lineRule="auto"/>
        <w:rPr>
          <w:rFonts w:cstheme="minorHAnsi"/>
          <w:lang w:val="fr-FR"/>
        </w:rPr>
      </w:pPr>
    </w:p>
    <w:p w:rsidR="009E7B35" w:rsidRPr="00610BA6" w:rsidRDefault="009E7B35" w:rsidP="00F739C0">
      <w:pPr>
        <w:spacing w:after="200" w:line="276" w:lineRule="auto"/>
        <w:rPr>
          <w:rFonts w:cstheme="minorHAnsi"/>
          <w:lang w:val="fr-FR"/>
        </w:rPr>
      </w:pPr>
    </w:p>
    <w:p w:rsidR="00F739C0" w:rsidRPr="00610BA6" w:rsidRDefault="00F739C0" w:rsidP="00F739C0">
      <w:pPr>
        <w:spacing w:after="200" w:line="276" w:lineRule="auto"/>
        <w:rPr>
          <w:rFonts w:cstheme="minorHAnsi"/>
          <w:lang w:val="fr-FR"/>
        </w:rPr>
      </w:pPr>
    </w:p>
    <w:p w:rsidR="004E1497" w:rsidRDefault="004E1497">
      <w:pPr>
        <w:spacing w:after="200" w:line="276" w:lineRule="auto"/>
        <w:rPr>
          <w:rFonts w:cstheme="minorHAnsi"/>
          <w:i/>
          <w:color w:val="FF0000"/>
          <w:lang w:val="fr-FR"/>
        </w:rPr>
      </w:pPr>
      <w:r>
        <w:rPr>
          <w:rFonts w:cstheme="minorHAnsi"/>
          <w:i/>
          <w:color w:val="FF0000"/>
          <w:lang w:val="fr-FR"/>
        </w:rPr>
        <w:br w:type="page"/>
      </w:r>
    </w:p>
    <w:p w:rsidR="004E1497" w:rsidRPr="00B4776E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lastRenderedPageBreak/>
        <w:t xml:space="preserve">Ouest de l´Irlande et mer Celtique - Zones CIEM VII (sauf d, e, a) </w:t>
      </w:r>
    </w:p>
    <w:p w:rsidR="004E1497" w:rsidRPr="00B4776E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 xml:space="preserve">[GT 2] </w:t>
      </w:r>
    </w:p>
    <w:p w:rsidR="004E1497" w:rsidRPr="00B4776E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 xml:space="preserve">Manche - Zones CIEM VIId et e    </w:t>
      </w:r>
    </w:p>
    <w:p w:rsidR="004E1497" w:rsidRPr="00B4776E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 xml:space="preserve">[GT3] </w:t>
      </w:r>
    </w:p>
    <w:p w:rsidR="004E1497" w:rsidRPr="00B4776E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 xml:space="preserve">Mer d´Irlande- Zones CIEM VIIa    </w:t>
      </w:r>
    </w:p>
    <w:p w:rsidR="00BE61FF" w:rsidRPr="00B4776E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>[GT4]</w:t>
      </w:r>
    </w:p>
    <w:p w:rsidR="00CA3DAA" w:rsidRPr="00B4776E" w:rsidRDefault="00F0216E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>Stocks pour lesquels un avis scientifique est prévu à l</w:t>
      </w:r>
      <w:r w:rsidR="00610BA6" w:rsidRPr="00B4776E">
        <w:rPr>
          <w:rFonts w:cstheme="minorHAnsi"/>
          <w:b/>
          <w:color w:val="808080" w:themeColor="background1" w:themeShade="80"/>
          <w:lang w:val="fr-FR"/>
        </w:rPr>
        <w:t>’</w:t>
      </w:r>
      <w:r w:rsidRPr="00B4776E">
        <w:rPr>
          <w:rFonts w:cstheme="minorHAnsi"/>
          <w:b/>
          <w:color w:val="808080" w:themeColor="background1" w:themeShade="80"/>
          <w:lang w:val="fr-FR"/>
        </w:rPr>
        <w:t>automne</w:t>
      </w:r>
    </w:p>
    <w:p w:rsidR="00A87BD8" w:rsidRDefault="00A87BD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Le CCEOS fera, le cas échéant, de plus amples observations sur les stocks, pour lesquels la date d’émission de l</w:t>
      </w:r>
      <w:r w:rsidR="00610BA6" w:rsidRPr="00610BA6">
        <w:rPr>
          <w:rFonts w:cstheme="minorHAnsi"/>
          <w:lang w:val="fr-FR"/>
        </w:rPr>
        <w:t>’</w:t>
      </w:r>
      <w:r w:rsidRPr="00610BA6">
        <w:rPr>
          <w:rFonts w:cstheme="minorHAnsi"/>
          <w:lang w:val="fr-FR"/>
        </w:rPr>
        <w:t xml:space="preserve">avis du CIEM est prévue au-delà de la fin </w:t>
      </w:r>
      <w:r w:rsidR="00610BA6" w:rsidRPr="00610BA6">
        <w:rPr>
          <w:rFonts w:cstheme="minorHAnsi"/>
          <w:lang w:val="fr-FR"/>
        </w:rPr>
        <w:t>o</w:t>
      </w:r>
      <w:r w:rsidRPr="00610BA6">
        <w:rPr>
          <w:rFonts w:cstheme="minorHAnsi"/>
          <w:lang w:val="fr-FR"/>
        </w:rPr>
        <w:t>ctobre 2016</w:t>
      </w:r>
      <w:r w:rsidR="00610BA6" w:rsidRPr="00610BA6">
        <w:rPr>
          <w:rFonts w:cstheme="minorHAnsi"/>
          <w:lang w:val="fr-FR"/>
        </w:rPr>
        <w:t> 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3176A8" w:rsidRPr="00D360A8" w:rsidTr="003176A8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6242A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Aiglefin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Baudroies</w:t>
            </w:r>
            <w:proofErr w:type="spellEnd"/>
          </w:p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Cardine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3176A8" w:rsidRPr="00610BA6" w:rsidRDefault="003176A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</w:p>
    <w:p w:rsidR="00F461E9" w:rsidRPr="00B4776E" w:rsidRDefault="00A87BD8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B4776E">
        <w:rPr>
          <w:rFonts w:cstheme="minorHAnsi"/>
          <w:b/>
          <w:color w:val="808080" w:themeColor="background1" w:themeShade="80"/>
          <w:lang w:val="fr-FR"/>
        </w:rPr>
        <w:t>Raies</w:t>
      </w:r>
      <w:bookmarkStart w:id="0" w:name="_GoBack"/>
      <w:bookmarkEnd w:id="0"/>
    </w:p>
    <w:p w:rsidR="00F461E9" w:rsidRPr="00B4776E" w:rsidRDefault="00A87BD8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color w:val="808080" w:themeColor="background1" w:themeShade="80"/>
          <w:lang w:val="fr-FR"/>
        </w:rPr>
      </w:pPr>
      <w:r w:rsidRPr="00B4776E">
        <w:rPr>
          <w:rFonts w:cstheme="minorHAnsi"/>
          <w:color w:val="808080" w:themeColor="background1" w:themeShade="80"/>
          <w:lang w:val="fr-FR"/>
        </w:rPr>
        <w:t xml:space="preserve">Groupe de </w:t>
      </w:r>
      <w:r w:rsidR="00610BA6" w:rsidRPr="00B4776E">
        <w:rPr>
          <w:rFonts w:cstheme="minorHAnsi"/>
          <w:color w:val="808080" w:themeColor="background1" w:themeShade="80"/>
          <w:lang w:val="fr-FR"/>
        </w:rPr>
        <w:t>d</w:t>
      </w:r>
      <w:r w:rsidRPr="00B4776E">
        <w:rPr>
          <w:rFonts w:cstheme="minorHAnsi"/>
          <w:color w:val="808080" w:themeColor="background1" w:themeShade="80"/>
          <w:lang w:val="fr-FR"/>
        </w:rPr>
        <w:t>iscussion sur les raies</w:t>
      </w:r>
    </w:p>
    <w:sectPr w:rsidR="00F461E9" w:rsidRPr="00B4776E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A8" w:rsidRDefault="003176A8" w:rsidP="001C1D46">
      <w:r>
        <w:separator/>
      </w:r>
    </w:p>
  </w:endnote>
  <w:endnote w:type="continuationSeparator" w:id="0">
    <w:p w:rsidR="003176A8" w:rsidRDefault="003176A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Pr="00A970F7" w:rsidRDefault="003176A8" w:rsidP="00202D1B">
    <w:pPr>
      <w:pStyle w:val="Footer"/>
      <w:jc w:val="center"/>
      <w:rPr>
        <w:sz w:val="16"/>
        <w:szCs w:val="12"/>
        <w:lang w:val="fr-FR"/>
      </w:rPr>
    </w:pPr>
    <w:r w:rsidRPr="00A970F7">
      <w:rPr>
        <w:sz w:val="16"/>
        <w:szCs w:val="12"/>
        <w:lang w:val="fr-FR"/>
      </w:rPr>
      <w:t xml:space="preserve">Projet de contribution du CCEOS pour répondre à la Communication de la CE sur les opportunités de pêche pour 2017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A8" w:rsidRDefault="003176A8" w:rsidP="001C1D46">
      <w:r>
        <w:separator/>
      </w:r>
    </w:p>
  </w:footnote>
  <w:footnote w:type="continuationSeparator" w:id="0">
    <w:p w:rsidR="003176A8" w:rsidRDefault="003176A8" w:rsidP="001C1D46">
      <w:r>
        <w:continuationSeparator/>
      </w:r>
    </w:p>
  </w:footnote>
  <w:footnote w:id="1">
    <w:p w:rsidR="003176A8" w:rsidRPr="004347A4" w:rsidRDefault="003176A8">
      <w:pPr>
        <w:pStyle w:val="FootnoteText"/>
        <w:rPr>
          <w:lang w:val="fr-FR"/>
        </w:rPr>
      </w:pPr>
      <w:r w:rsidRPr="004347A4">
        <w:rPr>
          <w:rStyle w:val="FootnoteReference"/>
          <w:lang w:val="fr-FR"/>
        </w:rPr>
        <w:footnoteRef/>
      </w:r>
      <w:r w:rsidRPr="004347A4">
        <w:rPr>
          <w:lang w:val="fr-FR"/>
        </w:rPr>
        <w:t xml:space="preserve">  Et le  </w:t>
      </w:r>
      <w:hyperlink r:id="rId1" w:history="1">
        <w:r w:rsidRPr="004347A4">
          <w:rPr>
            <w:rStyle w:val="Hyperlink"/>
            <w:lang w:val="fr-FR"/>
          </w:rPr>
          <w:t>Document de travail des services de la Commission</w:t>
        </w:r>
      </w:hyperlink>
      <w:r w:rsidRPr="004347A4">
        <w:rPr>
          <w:lang w:val="fr-FR"/>
        </w:rPr>
        <w:t xml:space="preserve">  qui l’accompagne (uniquement disponible en anglais)</w:t>
      </w:r>
    </w:p>
  </w:footnote>
  <w:footnote w:id="2">
    <w:p w:rsidR="003176A8" w:rsidRPr="00F253D0" w:rsidRDefault="003176A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Par example </w:t>
      </w:r>
      <w:proofErr w:type="spellStart"/>
      <w:r>
        <w:rPr>
          <w:lang w:val="en-IE"/>
        </w:rPr>
        <w:t>en</w:t>
      </w:r>
      <w:proofErr w:type="spellEnd"/>
      <w:r>
        <w:rPr>
          <w:lang w:val="en-IE"/>
        </w:rPr>
        <w:t xml:space="preserve"> 2015 - </w:t>
      </w:r>
      <w:hyperlink r:id="rId2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à la Communication de la</w:t>
        </w:r>
        <w:r>
          <w:rPr>
            <w:rStyle w:val="Hyperlink"/>
            <w:lang w:val="en-IE"/>
          </w:rPr>
          <w:t xml:space="preserve"> CE, 30 </w:t>
        </w:r>
        <w:proofErr w:type="spellStart"/>
        <w:r>
          <w:rPr>
            <w:rStyle w:val="Hyperlink"/>
            <w:lang w:val="en-IE"/>
          </w:rPr>
          <w:t>Septembre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  <w:r>
        <w:rPr>
          <w:lang w:val="en-IE"/>
        </w:rPr>
        <w:t xml:space="preserve"> – et </w:t>
      </w:r>
      <w:hyperlink r:id="rId3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du CC EOS á la Proposition de </w:t>
        </w:r>
        <w:proofErr w:type="spellStart"/>
        <w:r w:rsidRPr="00F253D0">
          <w:rPr>
            <w:rStyle w:val="Hyperlink"/>
            <w:lang w:val="en-IE"/>
          </w:rPr>
          <w:t>Règlement</w:t>
        </w:r>
        <w:proofErr w:type="spellEnd"/>
        <w:r w:rsidRPr="00F253D0">
          <w:rPr>
            <w:rStyle w:val="Hyperlink"/>
            <w:lang w:val="en-IE"/>
          </w:rPr>
          <w:t xml:space="preserve"> de la CE sur les </w:t>
        </w:r>
        <w:proofErr w:type="spellStart"/>
        <w:r w:rsidRPr="00F253D0">
          <w:rPr>
            <w:rStyle w:val="Hyperlink"/>
            <w:lang w:val="en-IE"/>
          </w:rPr>
          <w:t>Opportunités</w:t>
        </w:r>
        <w:proofErr w:type="spellEnd"/>
        <w:r w:rsidRPr="00F253D0">
          <w:rPr>
            <w:rStyle w:val="Hyperlink"/>
            <w:lang w:val="en-IE"/>
          </w:rPr>
          <w:t xml:space="preserve"> de </w:t>
        </w:r>
        <w:proofErr w:type="spellStart"/>
        <w:r w:rsidRPr="00F253D0">
          <w:rPr>
            <w:rStyle w:val="Hyperlink"/>
            <w:lang w:val="en-IE"/>
          </w:rPr>
          <w:t>Pêche</w:t>
        </w:r>
        <w:proofErr w:type="spellEnd"/>
        <w:r w:rsidRPr="00F253D0">
          <w:rPr>
            <w:rStyle w:val="Hyperlink"/>
            <w:lang w:val="en-IE"/>
          </w:rPr>
          <w:t xml:space="preserve"> pour 201</w:t>
        </w:r>
        <w:r>
          <w:rPr>
            <w:rStyle w:val="Hyperlink"/>
            <w:lang w:val="en-IE"/>
          </w:rPr>
          <w:t xml:space="preserve">6, 8 </w:t>
        </w:r>
        <w:proofErr w:type="spellStart"/>
        <w:r>
          <w:rPr>
            <w:rStyle w:val="Hyperlink"/>
            <w:lang w:val="en-IE"/>
          </w:rPr>
          <w:t>decembre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FFD89A8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E0B85"/>
    <w:rsid w:val="002E0D16"/>
    <w:rsid w:val="002E638E"/>
    <w:rsid w:val="002E67A8"/>
    <w:rsid w:val="002E6A93"/>
    <w:rsid w:val="003176A8"/>
    <w:rsid w:val="00324F96"/>
    <w:rsid w:val="0035246E"/>
    <w:rsid w:val="00354507"/>
    <w:rsid w:val="00360A4F"/>
    <w:rsid w:val="0036242A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D598B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1497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0BA6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2FA8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016BB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B37017"/>
    <w:rsid w:val="00B41AC5"/>
    <w:rsid w:val="00B434EA"/>
    <w:rsid w:val="00B4776E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1741"/>
    <w:rsid w:val="00E720FE"/>
    <w:rsid w:val="00E87E94"/>
    <w:rsid w:val="00EB7978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3D0"/>
    <w:rsid w:val="00F2549E"/>
    <w:rsid w:val="00F30C9E"/>
    <w:rsid w:val="00F3188C"/>
    <w:rsid w:val="00F359F0"/>
    <w:rsid w:val="00F41A1E"/>
    <w:rsid w:val="00F461E9"/>
    <w:rsid w:val="00F46BBA"/>
    <w:rsid w:val="00F57B46"/>
    <w:rsid w:val="00F71B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-lex.europa.eu/legal-content/EN/TXT/?qid=1466056863647&amp;uri=COM:2016:396:FIN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avis-et-publications/r%c3%a9ponse-du-cc-eos-%c3%a1-la-proposition-de-r%c3%a8glement-de-la-ce-sur-les-opportunit%c3%a9s-de-p%c3%aache-pour-2016.2030.html" TargetMode="External"/><Relationship Id="rId2" Type="http://schemas.openxmlformats.org/officeDocument/2006/relationships/hyperlink" Target="http://www.nwwac.org/avis-et-publications/r%c3%a9ponse-%c3%a0-la-communication-de-la-ce-sur-les-possibilit%c3%a9s-de-p%c3%aache-pour-2016.1983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0F1C-8AF5-4B51-BA7F-8E0A84DE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2016-06-22T15:25:00Z</dcterms:created>
  <dcterms:modified xsi:type="dcterms:W3CDTF">2016-06-22T15:26:00Z</dcterms:modified>
</cp:coreProperties>
</file>