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</w:p>
    <w:p w:rsidR="00D21447" w:rsidRPr="00C46DC7" w:rsidRDefault="00D21447" w:rsidP="00A71D7B">
      <w:pPr>
        <w:spacing w:line="276" w:lineRule="auto"/>
        <w:jc w:val="center"/>
        <w:rPr>
          <w:b/>
          <w:sz w:val="10"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>EU Transparency Register Id. No: 8900132344-29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2E6A93" w:rsidRDefault="00FD6B75" w:rsidP="00A71D7B">
      <w:pPr>
        <w:spacing w:line="276" w:lineRule="auto"/>
        <w:jc w:val="center"/>
        <w:rPr>
          <w:b/>
          <w:color w:val="FF0000"/>
          <w:sz w:val="32"/>
          <w:lang w:val="en-IE"/>
        </w:rPr>
      </w:pPr>
      <w:r w:rsidRPr="002E6A93">
        <w:rPr>
          <w:b/>
          <w:color w:val="FF0000"/>
          <w:sz w:val="32"/>
          <w:lang w:val="en-IE"/>
        </w:rPr>
        <w:t>ADVICE</w:t>
      </w:r>
      <w:r w:rsidR="004139B6" w:rsidRPr="004139B6">
        <w:rPr>
          <w:b/>
          <w:color w:val="FF0000"/>
          <w:sz w:val="32"/>
          <w:lang w:val="en-IE"/>
        </w:rPr>
        <w:t xml:space="preserve"> </w:t>
      </w:r>
      <w:r w:rsidR="004139B6" w:rsidRPr="002E6A93">
        <w:rPr>
          <w:b/>
          <w:color w:val="FF0000"/>
          <w:sz w:val="32"/>
          <w:lang w:val="en-IE"/>
        </w:rPr>
        <w:t>DRAFT</w:t>
      </w:r>
      <w:r w:rsidR="004139B6">
        <w:rPr>
          <w:b/>
          <w:color w:val="FF0000"/>
          <w:sz w:val="32"/>
          <w:lang w:val="en-IE"/>
        </w:rPr>
        <w:t>ING GUIDELINES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 xml:space="preserve">Response to the </w:t>
      </w:r>
      <w:r w:rsidR="002E6A93">
        <w:rPr>
          <w:b/>
          <w:lang w:val="en-IE"/>
        </w:rPr>
        <w:t xml:space="preserve">Communication </w:t>
      </w:r>
      <w:r w:rsidRPr="00C46DC7">
        <w:rPr>
          <w:b/>
          <w:lang w:val="en-IE"/>
        </w:rPr>
        <w:t>from the European Commission</w:t>
      </w:r>
    </w:p>
    <w:p w:rsidR="0072602F" w:rsidRPr="00C46DC7" w:rsidRDefault="008716A4" w:rsidP="00A71D7B">
      <w:pPr>
        <w:spacing w:line="276" w:lineRule="auto"/>
        <w:jc w:val="center"/>
        <w:rPr>
          <w:b/>
          <w:lang w:val="en-IE"/>
        </w:rPr>
      </w:pPr>
      <w:r w:rsidRPr="00EF7ABF">
        <w:rPr>
          <w:b/>
          <w:lang w:val="en-IE"/>
        </w:rPr>
        <w:t>Consultation on the</w:t>
      </w:r>
      <w:r w:rsidR="000F1CE3" w:rsidRPr="00EF7ABF">
        <w:rPr>
          <w:b/>
          <w:lang w:val="en-IE"/>
        </w:rPr>
        <w:t xml:space="preserve"> Fishing Opportunities for 201</w:t>
      </w:r>
      <w:r w:rsidR="002E6A93" w:rsidRPr="00EF7ABF">
        <w:rPr>
          <w:b/>
          <w:lang w:val="en-IE"/>
        </w:rPr>
        <w:t>7</w:t>
      </w:r>
      <w:r w:rsidR="00EF7ABF" w:rsidRPr="00EF7ABF">
        <w:rPr>
          <w:b/>
          <w:lang w:val="en-IE"/>
        </w:rPr>
        <w:t xml:space="preserve"> </w:t>
      </w:r>
      <w:r w:rsidR="00EF7ABF" w:rsidRPr="00EF7ABF">
        <w:rPr>
          <w:b/>
        </w:rPr>
        <w:t>(</w:t>
      </w:r>
      <w:hyperlink r:id="rId10" w:tgtFrame="_blank" w:tooltip="COM/2016/396" w:history="1">
        <w:r w:rsidR="00EF7ABF" w:rsidRPr="00A8525F">
          <w:rPr>
            <w:rStyle w:val="Hyperlink"/>
            <w:b/>
            <w:color w:val="8D0C88"/>
          </w:rPr>
          <w:t>COM/2016/396</w:t>
        </w:r>
      </w:hyperlink>
      <w:r w:rsidR="00EF7ABF" w:rsidRPr="00EF7ABF">
        <w:rPr>
          <w:b/>
        </w:rPr>
        <w:t>)</w:t>
      </w:r>
      <w:r w:rsidR="00EF7ABF">
        <w:rPr>
          <w:rStyle w:val="FootnoteReference"/>
          <w:b/>
          <w:lang w:val="en-IE"/>
        </w:rPr>
        <w:footnoteReference w:id="1"/>
      </w:r>
      <w:r w:rsidR="000F1CE3" w:rsidRPr="00C46DC7">
        <w:rPr>
          <w:b/>
          <w:lang w:val="en-IE"/>
        </w:rPr>
        <w:t xml:space="preserve"> </w:t>
      </w:r>
    </w:p>
    <w:p w:rsidR="0072602F" w:rsidRPr="00C46DC7" w:rsidRDefault="0072602F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A8525F" w:rsidP="00A71D7B">
      <w:pPr>
        <w:spacing w:line="276" w:lineRule="auto"/>
        <w:jc w:val="center"/>
        <w:rPr>
          <w:b/>
          <w:lang w:val="en-IE"/>
        </w:rPr>
      </w:pPr>
      <w:r>
        <w:rPr>
          <w:b/>
          <w:lang w:val="en-IE"/>
        </w:rPr>
        <w:t xml:space="preserve">July </w:t>
      </w:r>
      <w:r w:rsidR="000F1CE3" w:rsidRPr="00C46DC7">
        <w:rPr>
          <w:b/>
          <w:lang w:val="en-IE"/>
        </w:rPr>
        <w:t>201</w:t>
      </w:r>
      <w:r w:rsidR="002E6A93">
        <w:rPr>
          <w:b/>
          <w:lang w:val="en-IE"/>
        </w:rPr>
        <w:t>6</w:t>
      </w:r>
    </w:p>
    <w:p w:rsidR="00FD6B75" w:rsidRPr="00C46DC7" w:rsidRDefault="00FD6B75" w:rsidP="00A71D7B">
      <w:pPr>
        <w:spacing w:line="276" w:lineRule="auto"/>
        <w:jc w:val="center"/>
        <w:rPr>
          <w:b/>
          <w:lang w:val="en-IE"/>
        </w:rPr>
      </w:pPr>
    </w:p>
    <w:p w:rsidR="002E6A93" w:rsidRPr="00CA3DAA" w:rsidRDefault="002E6A93" w:rsidP="00A71D7B">
      <w:pPr>
        <w:spacing w:before="100" w:beforeAutospacing="1" w:after="100" w:afterAutospacing="1" w:line="276" w:lineRule="auto"/>
        <w:jc w:val="both"/>
        <w:rPr>
          <w:b/>
          <w:i/>
          <w:color w:val="808080" w:themeColor="background1" w:themeShade="80"/>
        </w:rPr>
      </w:pPr>
      <w:r w:rsidRPr="00CA3DAA">
        <w:rPr>
          <w:b/>
          <w:i/>
          <w:color w:val="808080" w:themeColor="background1" w:themeShade="80"/>
        </w:rPr>
        <w:t xml:space="preserve">Note </w:t>
      </w:r>
      <w:r w:rsidR="00A05328">
        <w:rPr>
          <w:b/>
          <w:i/>
          <w:color w:val="808080" w:themeColor="background1" w:themeShade="80"/>
        </w:rPr>
        <w:t>on</w:t>
      </w:r>
      <w:r w:rsidR="00A05328" w:rsidRPr="00CA3DAA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the process for the </w:t>
      </w:r>
      <w:r w:rsidRPr="00CA3DAA">
        <w:rPr>
          <w:b/>
          <w:i/>
          <w:color w:val="808080" w:themeColor="background1" w:themeShade="80"/>
        </w:rPr>
        <w:t>drafting</w:t>
      </w:r>
      <w:r w:rsidR="00A05328" w:rsidRPr="00A05328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of </w:t>
      </w:r>
      <w:r w:rsidR="00A05328" w:rsidRPr="00CA3DAA">
        <w:rPr>
          <w:b/>
          <w:i/>
          <w:color w:val="808080" w:themeColor="background1" w:themeShade="80"/>
        </w:rPr>
        <w:t>advice</w:t>
      </w:r>
    </w:p>
    <w:p w:rsidR="00A170F5" w:rsidRDefault="002E6A93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CA3DAA">
        <w:rPr>
          <w:i/>
          <w:color w:val="808080" w:themeColor="background1" w:themeShade="80"/>
        </w:rPr>
        <w:t>In previous years, the NWWAC repl</w:t>
      </w:r>
      <w:r w:rsidR="00A05328">
        <w:rPr>
          <w:i/>
          <w:color w:val="808080" w:themeColor="background1" w:themeShade="80"/>
        </w:rPr>
        <w:t>ied to</w:t>
      </w:r>
      <w:r w:rsidRPr="00CA3DAA">
        <w:rPr>
          <w:i/>
          <w:color w:val="808080" w:themeColor="background1" w:themeShade="80"/>
        </w:rPr>
        <w:t xml:space="preserve"> b</w:t>
      </w:r>
      <w:r w:rsidR="00A170F5">
        <w:rPr>
          <w:i/>
          <w:color w:val="808080" w:themeColor="background1" w:themeShade="80"/>
        </w:rPr>
        <w:t>oth to the ‘policy paper’ (</w:t>
      </w:r>
      <w:r w:rsidR="00A05328">
        <w:rPr>
          <w:i/>
          <w:color w:val="808080" w:themeColor="background1" w:themeShade="80"/>
        </w:rPr>
        <w:t xml:space="preserve">i.e. </w:t>
      </w:r>
      <w:proofErr w:type="gramStart"/>
      <w:r w:rsidR="00A05328">
        <w:rPr>
          <w:i/>
          <w:color w:val="808080" w:themeColor="background1" w:themeShade="80"/>
        </w:rPr>
        <w:t>The</w:t>
      </w:r>
      <w:proofErr w:type="gramEnd"/>
      <w:r w:rsidR="00A05328">
        <w:rPr>
          <w:i/>
          <w:color w:val="808080" w:themeColor="background1" w:themeShade="80"/>
        </w:rPr>
        <w:t xml:space="preserve"> c</w:t>
      </w:r>
      <w:r w:rsidR="00A170F5">
        <w:rPr>
          <w:i/>
          <w:color w:val="808080" w:themeColor="background1" w:themeShade="80"/>
        </w:rPr>
        <w:t>onsultation</w:t>
      </w:r>
      <w:r w:rsidRPr="00CA3DAA">
        <w:rPr>
          <w:i/>
          <w:color w:val="808080" w:themeColor="background1" w:themeShade="80"/>
        </w:rPr>
        <w:t xml:space="preserve"> from the EC on the TACs)</w:t>
      </w:r>
      <w:r w:rsidR="00A170F5">
        <w:rPr>
          <w:i/>
          <w:color w:val="808080" w:themeColor="background1" w:themeShade="80"/>
        </w:rPr>
        <w:t xml:space="preserve"> in autumn</w:t>
      </w:r>
      <w:r w:rsidRPr="00CA3DAA">
        <w:rPr>
          <w:i/>
          <w:color w:val="808080" w:themeColor="background1" w:themeShade="80"/>
        </w:rPr>
        <w:t>, and then again to the TAC proposal itself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in December</w:t>
      </w:r>
      <w:r w:rsidRPr="00CA3DAA">
        <w:rPr>
          <w:rStyle w:val="FootnoteReference"/>
          <w:i/>
          <w:color w:val="808080" w:themeColor="background1" w:themeShade="80"/>
        </w:rPr>
        <w:footnoteReference w:id="2"/>
      </w:r>
      <w:r w:rsidRPr="00CA3DAA">
        <w:rPr>
          <w:i/>
          <w:color w:val="808080" w:themeColor="background1" w:themeShade="80"/>
        </w:rPr>
        <w:t xml:space="preserve">. The suggestion from </w:t>
      </w:r>
      <w:r w:rsidR="00A05328">
        <w:rPr>
          <w:i/>
          <w:color w:val="808080" w:themeColor="background1" w:themeShade="80"/>
        </w:rPr>
        <w:t xml:space="preserve">the </w:t>
      </w:r>
      <w:r w:rsidRPr="00CA3DAA">
        <w:rPr>
          <w:i/>
          <w:color w:val="808080" w:themeColor="background1" w:themeShade="80"/>
        </w:rPr>
        <w:t>Ex</w:t>
      </w:r>
      <w:r w:rsidR="00A05328">
        <w:rPr>
          <w:i/>
          <w:color w:val="808080" w:themeColor="background1" w:themeShade="80"/>
        </w:rPr>
        <w:t xml:space="preserve">ecutive </w:t>
      </w:r>
      <w:r w:rsidRPr="00CA3DAA">
        <w:rPr>
          <w:i/>
          <w:color w:val="808080" w:themeColor="background1" w:themeShade="80"/>
        </w:rPr>
        <w:t>Com</w:t>
      </w:r>
      <w:r w:rsidR="00A05328">
        <w:rPr>
          <w:i/>
          <w:color w:val="808080" w:themeColor="background1" w:themeShade="80"/>
        </w:rPr>
        <w:t>mittee</w:t>
      </w:r>
      <w:r w:rsidRPr="00CA3DAA">
        <w:rPr>
          <w:i/>
          <w:color w:val="808080" w:themeColor="background1" w:themeShade="80"/>
        </w:rPr>
        <w:t xml:space="preserve"> at the meeting in Paris (2</w:t>
      </w:r>
      <w:r w:rsidRPr="00CA3DAA">
        <w:rPr>
          <w:i/>
          <w:color w:val="808080" w:themeColor="background1" w:themeShade="80"/>
          <w:vertAlign w:val="superscript"/>
        </w:rPr>
        <w:t>nd</w:t>
      </w:r>
      <w:r w:rsidRPr="00CA3DAA">
        <w:rPr>
          <w:i/>
          <w:color w:val="808080" w:themeColor="background1" w:themeShade="80"/>
        </w:rPr>
        <w:t xml:space="preserve"> February 2016) </w:t>
      </w:r>
      <w:r w:rsidR="00A05328">
        <w:rPr>
          <w:i/>
          <w:color w:val="808080" w:themeColor="background1" w:themeShade="80"/>
        </w:rPr>
        <w:t xml:space="preserve">was for the AC </w:t>
      </w:r>
      <w:r w:rsidRPr="00CA3DAA">
        <w:rPr>
          <w:i/>
          <w:color w:val="808080" w:themeColor="background1" w:themeShade="80"/>
        </w:rPr>
        <w:t>to be efficient</w:t>
      </w:r>
      <w:r w:rsidR="00A05328">
        <w:rPr>
          <w:i/>
          <w:color w:val="808080" w:themeColor="background1" w:themeShade="80"/>
        </w:rPr>
        <w:t xml:space="preserve"> and proactive</w:t>
      </w:r>
      <w:r w:rsidRPr="00CA3DAA">
        <w:rPr>
          <w:i/>
          <w:color w:val="808080" w:themeColor="background1" w:themeShade="80"/>
        </w:rPr>
        <w:t xml:space="preserve"> and </w:t>
      </w:r>
      <w:r w:rsidR="00A05328">
        <w:rPr>
          <w:i/>
          <w:color w:val="808080" w:themeColor="background1" w:themeShade="80"/>
        </w:rPr>
        <w:t>provide</w:t>
      </w:r>
      <w:r w:rsidRPr="00CA3DAA">
        <w:rPr>
          <w:i/>
          <w:color w:val="808080" w:themeColor="background1" w:themeShade="80"/>
        </w:rPr>
        <w:t xml:space="preserve"> input </w:t>
      </w:r>
      <w:r w:rsidR="00A05328">
        <w:rPr>
          <w:i/>
          <w:color w:val="808080" w:themeColor="background1" w:themeShade="80"/>
        </w:rPr>
        <w:t xml:space="preserve">to </w:t>
      </w:r>
      <w:r w:rsidRPr="00CA3DAA">
        <w:rPr>
          <w:i/>
          <w:color w:val="808080" w:themeColor="background1" w:themeShade="80"/>
        </w:rPr>
        <w:t xml:space="preserve">the TAC proposal </w:t>
      </w:r>
      <w:r w:rsidR="00A05328">
        <w:rPr>
          <w:i/>
          <w:color w:val="808080" w:themeColor="background1" w:themeShade="80"/>
        </w:rPr>
        <w:t xml:space="preserve">as it </w:t>
      </w:r>
      <w:r w:rsidRPr="00CA3DAA">
        <w:rPr>
          <w:i/>
          <w:color w:val="808080" w:themeColor="background1" w:themeShade="80"/>
        </w:rPr>
        <w:t xml:space="preserve">is </w:t>
      </w:r>
      <w:r w:rsidR="00A05328">
        <w:rPr>
          <w:i/>
          <w:color w:val="808080" w:themeColor="background1" w:themeShade="80"/>
        </w:rPr>
        <w:t xml:space="preserve">being </w:t>
      </w:r>
      <w:r w:rsidRPr="00CA3DAA">
        <w:rPr>
          <w:i/>
          <w:color w:val="808080" w:themeColor="background1" w:themeShade="80"/>
        </w:rPr>
        <w:t>drafted, making use of the EC Co</w:t>
      </w:r>
      <w:r w:rsidR="00A170F5">
        <w:rPr>
          <w:i/>
          <w:color w:val="808080" w:themeColor="background1" w:themeShade="80"/>
        </w:rPr>
        <w:t>nsult</w:t>
      </w:r>
      <w:r w:rsidRPr="00CA3DAA">
        <w:rPr>
          <w:i/>
          <w:color w:val="808080" w:themeColor="background1" w:themeShade="80"/>
        </w:rPr>
        <w:t>ation and the ICES advice</w:t>
      </w:r>
      <w:r w:rsidR="00A05328">
        <w:rPr>
          <w:i/>
          <w:color w:val="808080" w:themeColor="background1" w:themeShade="80"/>
        </w:rPr>
        <w:t xml:space="preserve"> in this process</w:t>
      </w:r>
      <w:r w:rsidRPr="00CA3DAA">
        <w:rPr>
          <w:i/>
          <w:color w:val="808080" w:themeColor="background1" w:themeShade="80"/>
        </w:rPr>
        <w:t xml:space="preserve">. </w:t>
      </w:r>
      <w:r w:rsidR="00A170F5">
        <w:rPr>
          <w:i/>
          <w:color w:val="808080" w:themeColor="background1" w:themeShade="80"/>
        </w:rPr>
        <w:t xml:space="preserve">For </w:t>
      </w:r>
      <w:r w:rsidR="00A05328">
        <w:rPr>
          <w:i/>
          <w:color w:val="808080" w:themeColor="background1" w:themeShade="80"/>
        </w:rPr>
        <w:t xml:space="preserve">those </w:t>
      </w:r>
      <w:r w:rsidR="00A170F5">
        <w:rPr>
          <w:i/>
          <w:color w:val="808080" w:themeColor="background1" w:themeShade="80"/>
        </w:rPr>
        <w:t>stocks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for which ICES advice is released in autumn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the AC will draft </w:t>
      </w:r>
      <w:r w:rsidR="00A05328">
        <w:rPr>
          <w:i/>
          <w:color w:val="808080" w:themeColor="background1" w:themeShade="80"/>
        </w:rPr>
        <w:t>its</w:t>
      </w:r>
      <w:r w:rsidR="00A170F5">
        <w:rPr>
          <w:i/>
          <w:color w:val="808080" w:themeColor="background1" w:themeShade="80"/>
        </w:rPr>
        <w:t xml:space="preserve"> response in November</w:t>
      </w:r>
      <w:r w:rsidR="005011DC" w:rsidRPr="00CA3DAA">
        <w:rPr>
          <w:i/>
          <w:color w:val="808080" w:themeColor="background1" w:themeShade="80"/>
        </w:rPr>
        <w:t xml:space="preserve">. </w:t>
      </w:r>
    </w:p>
    <w:p w:rsidR="002E6A93" w:rsidRPr="00CA3DAA" w:rsidRDefault="00A05328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In this context, the </w:t>
      </w:r>
      <w:r w:rsidR="00A170F5" w:rsidRPr="00CA3DAA">
        <w:rPr>
          <w:i/>
          <w:color w:val="808080" w:themeColor="background1" w:themeShade="80"/>
        </w:rPr>
        <w:t>E</w:t>
      </w:r>
      <w:r>
        <w:rPr>
          <w:i/>
          <w:color w:val="808080" w:themeColor="background1" w:themeShade="80"/>
        </w:rPr>
        <w:t xml:space="preserve">xecutive </w:t>
      </w:r>
      <w:r w:rsidR="00A170F5" w:rsidRPr="00CA3DAA">
        <w:rPr>
          <w:i/>
          <w:color w:val="808080" w:themeColor="background1" w:themeShade="80"/>
        </w:rPr>
        <w:t>Com</w:t>
      </w:r>
      <w:r>
        <w:rPr>
          <w:i/>
          <w:color w:val="808080" w:themeColor="background1" w:themeShade="80"/>
        </w:rPr>
        <w:t>mittee do not anticipate that</w:t>
      </w:r>
      <w:r w:rsidR="00A170F5" w:rsidRPr="00CA3DAA">
        <w:rPr>
          <w:i/>
          <w:color w:val="808080" w:themeColor="background1" w:themeShade="80"/>
        </w:rPr>
        <w:t xml:space="preserve"> specific advice </w:t>
      </w:r>
      <w:r>
        <w:rPr>
          <w:i/>
          <w:color w:val="808080" w:themeColor="background1" w:themeShade="80"/>
        </w:rPr>
        <w:t xml:space="preserve">will be drafted </w:t>
      </w:r>
      <w:r w:rsidR="00A170F5" w:rsidRPr="00CA3DAA">
        <w:rPr>
          <w:i/>
          <w:color w:val="808080" w:themeColor="background1" w:themeShade="80"/>
        </w:rPr>
        <w:t xml:space="preserve">on the TAC proposal </w:t>
      </w:r>
      <w:r w:rsidR="00A170F5">
        <w:rPr>
          <w:i/>
          <w:color w:val="808080" w:themeColor="background1" w:themeShade="80"/>
        </w:rPr>
        <w:t>itself</w:t>
      </w:r>
      <w:r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</w:t>
      </w:r>
      <w:r w:rsidR="00A170F5" w:rsidRPr="00CA3DAA">
        <w:rPr>
          <w:i/>
          <w:color w:val="808080" w:themeColor="background1" w:themeShade="80"/>
        </w:rPr>
        <w:t xml:space="preserve">unless there are specific regional issues that need to be addressed. </w:t>
      </w:r>
    </w:p>
    <w:p w:rsidR="005011DC" w:rsidRPr="00A8525F" w:rsidRDefault="005011DC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A8525F">
        <w:rPr>
          <w:i/>
          <w:color w:val="808080" w:themeColor="background1" w:themeShade="80"/>
        </w:rPr>
        <w:t xml:space="preserve">The Working Groups are asked to reflect on specific issues </w:t>
      </w:r>
      <w:r w:rsidR="008716A4" w:rsidRPr="00A8525F">
        <w:rPr>
          <w:i/>
          <w:color w:val="808080" w:themeColor="background1" w:themeShade="80"/>
        </w:rPr>
        <w:t xml:space="preserve">concerning species and management for </w:t>
      </w:r>
      <w:r w:rsidR="00A05328">
        <w:rPr>
          <w:i/>
          <w:color w:val="808080" w:themeColor="background1" w:themeShade="80"/>
        </w:rPr>
        <w:t>their</w:t>
      </w:r>
      <w:r w:rsidR="00A05328" w:rsidRPr="00A8525F">
        <w:rPr>
          <w:i/>
          <w:color w:val="808080" w:themeColor="background1" w:themeShade="80"/>
        </w:rPr>
        <w:t xml:space="preserve"> </w:t>
      </w:r>
      <w:r w:rsidR="008716A4" w:rsidRPr="00A8525F">
        <w:rPr>
          <w:i/>
          <w:color w:val="808080" w:themeColor="background1" w:themeShade="80"/>
        </w:rPr>
        <w:t>specific</w:t>
      </w:r>
      <w:r w:rsidRPr="00A8525F">
        <w:rPr>
          <w:i/>
          <w:color w:val="808080" w:themeColor="background1" w:themeShade="80"/>
        </w:rPr>
        <w:t xml:space="preserve"> sub-region at the WG meeting</w:t>
      </w:r>
      <w:r w:rsidR="00A05328">
        <w:rPr>
          <w:i/>
          <w:color w:val="808080" w:themeColor="background1" w:themeShade="80"/>
        </w:rPr>
        <w:t>s</w:t>
      </w:r>
      <w:r w:rsidRPr="00A8525F">
        <w:rPr>
          <w:i/>
          <w:color w:val="808080" w:themeColor="background1" w:themeShade="80"/>
        </w:rPr>
        <w:t xml:space="preserve"> in July. </w:t>
      </w:r>
    </w:p>
    <w:p w:rsidR="00CA3DAA" w:rsidRPr="00CA3DAA" w:rsidRDefault="00CA3DAA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The NWWAC aims to finalise th</w:t>
      </w:r>
      <w:r w:rsidR="00A170F5">
        <w:rPr>
          <w:i/>
          <w:color w:val="808080" w:themeColor="background1" w:themeShade="80"/>
        </w:rPr>
        <w:t>e reply to the consultation by 1</w:t>
      </w:r>
      <w:r w:rsidR="00A170F5" w:rsidRPr="00A170F5">
        <w:rPr>
          <w:i/>
          <w:color w:val="808080" w:themeColor="background1" w:themeShade="80"/>
          <w:vertAlign w:val="superscript"/>
        </w:rPr>
        <w:t>st</w:t>
      </w:r>
      <w:r w:rsidR="00A170F5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September</w:t>
      </w:r>
      <w:r w:rsidR="00A05328">
        <w:rPr>
          <w:i/>
          <w:color w:val="808080" w:themeColor="background1" w:themeShade="80"/>
        </w:rPr>
        <w:t>, 2016</w:t>
      </w:r>
      <w:r>
        <w:rPr>
          <w:i/>
          <w:color w:val="808080" w:themeColor="background1" w:themeShade="80"/>
        </w:rPr>
        <w:t xml:space="preserve">. </w:t>
      </w:r>
    </w:p>
    <w:p w:rsidR="002E6A93" w:rsidRPr="002E6A93" w:rsidRDefault="002E6A93" w:rsidP="00A71D7B">
      <w:pPr>
        <w:spacing w:before="100" w:beforeAutospacing="1" w:after="100" w:afterAutospacing="1" w:line="276" w:lineRule="auto"/>
        <w:jc w:val="both"/>
      </w:pPr>
    </w:p>
    <w:p w:rsidR="008716A4" w:rsidRDefault="008716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48D4" w:rsidRPr="002E67A8" w:rsidRDefault="00AB48D4" w:rsidP="00A71D7B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>General comments</w:t>
      </w:r>
    </w:p>
    <w:p w:rsidR="008716A4" w:rsidRDefault="00DB784C" w:rsidP="00541E73">
      <w:pPr>
        <w:spacing w:line="276" w:lineRule="auto"/>
        <w:jc w:val="both"/>
      </w:pPr>
      <w:r>
        <w:t xml:space="preserve">The NWWAC intends </w:t>
      </w:r>
      <w:r w:rsidR="00A05328">
        <w:t xml:space="preserve">that </w:t>
      </w:r>
      <w:r>
        <w:t xml:space="preserve">this advice </w:t>
      </w:r>
      <w:r w:rsidR="00A05328">
        <w:t xml:space="preserve">will </w:t>
      </w:r>
      <w:r>
        <w:t xml:space="preserve">be its major contribution to the development of the thinking of the EC and relevant Member States on the fishing opportunities in the North Western Waters. </w:t>
      </w:r>
    </w:p>
    <w:p w:rsidR="00CA3DAA" w:rsidRPr="008716A4" w:rsidRDefault="00A170F5" w:rsidP="008716A4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To be </w:t>
      </w:r>
      <w:r w:rsidR="00541E73" w:rsidRPr="008716A4">
        <w:rPr>
          <w:i/>
          <w:color w:val="808080" w:themeColor="background1" w:themeShade="80"/>
        </w:rPr>
        <w:t>finalise</w:t>
      </w:r>
      <w:r>
        <w:rPr>
          <w:i/>
          <w:color w:val="808080" w:themeColor="background1" w:themeShade="80"/>
        </w:rPr>
        <w:t>d by ExCom</w:t>
      </w:r>
      <w:r w:rsidR="00541E73" w:rsidRPr="008716A4">
        <w:rPr>
          <w:i/>
          <w:color w:val="808080" w:themeColor="background1" w:themeShade="80"/>
        </w:rPr>
        <w:t xml:space="preserve">. </w:t>
      </w:r>
    </w:p>
    <w:p w:rsidR="0055635D" w:rsidRDefault="00605648" w:rsidP="008E2B44">
      <w:p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 xml:space="preserve">Consultation document </w:t>
      </w:r>
    </w:p>
    <w:p w:rsidR="00F57B46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Multi-Annual plan – the use of F ranges</w:t>
      </w:r>
    </w:p>
    <w:p w:rsidR="00F57B46" w:rsidRDefault="00F57B46" w:rsidP="00F57B46">
      <w:pPr>
        <w:pStyle w:val="ListParagraph"/>
        <w:numPr>
          <w:ilvl w:val="0"/>
          <w:numId w:val="37"/>
        </w:numPr>
        <w:spacing w:line="276" w:lineRule="auto"/>
        <w:jc w:val="both"/>
      </w:pPr>
      <w:r>
        <w:t>Mixed fisheries advice for the Celtic Sea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omments on the application of this approach for the NWW</w:t>
      </w:r>
    </w:p>
    <w:p w:rsidR="008E2B44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8E2B44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F57B4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Stocks with MSY assessment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Other stocks</w:t>
      </w:r>
      <w:r w:rsidR="007F4FAE">
        <w:t>: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data available to determine MSY proxies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survey-assessed trends or with catch time series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a presumption of stability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biological advice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TACs and the obligation to land all catches</w:t>
      </w:r>
      <w:r w:rsidR="007F4FAE">
        <w:t>.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</w:t>
      </w:r>
      <w:r w:rsidR="008E2B44">
        <w:rPr>
          <w:i/>
          <w:color w:val="808080" w:themeColor="background1" w:themeShade="80"/>
        </w:rPr>
        <w:t xml:space="preserve"> – </w:t>
      </w:r>
      <w:r w:rsidR="00BE61FF">
        <w:rPr>
          <w:i/>
          <w:color w:val="808080" w:themeColor="background1" w:themeShade="80"/>
        </w:rPr>
        <w:t>based on</w:t>
      </w:r>
      <w:r w:rsidR="008E2B44">
        <w:rPr>
          <w:i/>
          <w:color w:val="808080" w:themeColor="background1" w:themeShade="80"/>
        </w:rPr>
        <w:t xml:space="preserve"> WG input</w:t>
      </w:r>
      <w:r w:rsidR="00BE61FF">
        <w:rPr>
          <w:i/>
          <w:color w:val="808080" w:themeColor="background1" w:themeShade="80"/>
        </w:rPr>
        <w:t xml:space="preserve"> (see below)</w:t>
      </w:r>
    </w:p>
    <w:p w:rsidR="008E2B44" w:rsidRPr="00F41A1E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 xml:space="preserve">General </w:t>
      </w:r>
      <w:r w:rsidR="00605648"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F41A1E" w:rsidRDefault="00F41A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1A1E" w:rsidRDefault="00F41A1E" w:rsidP="00A8525F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 xml:space="preserve">Specific comments </w:t>
      </w:r>
      <w:r>
        <w:rPr>
          <w:b/>
        </w:rPr>
        <w:t>by region</w:t>
      </w:r>
    </w:p>
    <w:p w:rsidR="00CA3DAA" w:rsidRPr="006F5A86" w:rsidRDefault="005011DC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6F5A86">
        <w:rPr>
          <w:b/>
          <w:color w:val="808080" w:themeColor="background1" w:themeShade="80"/>
        </w:rPr>
        <w:t>West of Scotland</w:t>
      </w:r>
      <w:r w:rsidR="007F4FAE" w:rsidRPr="006F5A86">
        <w:rPr>
          <w:b/>
          <w:color w:val="808080" w:themeColor="background1" w:themeShade="80"/>
        </w:rPr>
        <w:t xml:space="preserve">; </w:t>
      </w:r>
      <w:r w:rsidRPr="006F5A86">
        <w:rPr>
          <w:b/>
          <w:color w:val="808080" w:themeColor="background1" w:themeShade="80"/>
        </w:rPr>
        <w:t xml:space="preserve">ICES areas </w:t>
      </w:r>
      <w:proofErr w:type="spellStart"/>
      <w:r w:rsidRPr="006F5A86">
        <w:rPr>
          <w:b/>
          <w:color w:val="808080" w:themeColor="background1" w:themeShade="80"/>
        </w:rPr>
        <w:t>Vb</w:t>
      </w:r>
      <w:proofErr w:type="spellEnd"/>
      <w:r w:rsidRPr="006F5A86">
        <w:rPr>
          <w:b/>
          <w:color w:val="808080" w:themeColor="background1" w:themeShade="80"/>
        </w:rPr>
        <w:t xml:space="preserve"> (EC) VIa, </w:t>
      </w:r>
      <w:proofErr w:type="spellStart"/>
      <w:r w:rsidRPr="006F5A86">
        <w:rPr>
          <w:b/>
          <w:color w:val="808080" w:themeColor="background1" w:themeShade="80"/>
        </w:rPr>
        <w:t>VIb</w:t>
      </w:r>
      <w:proofErr w:type="spellEnd"/>
      <w:r w:rsidRPr="006F5A86">
        <w:rPr>
          <w:b/>
          <w:color w:val="808080" w:themeColor="background1" w:themeShade="80"/>
        </w:rPr>
        <w:t xml:space="preserve"> </w:t>
      </w:r>
      <w:r w:rsidR="007F4FAE" w:rsidRPr="006F5A86">
        <w:rPr>
          <w:b/>
          <w:color w:val="808080" w:themeColor="background1" w:themeShade="80"/>
        </w:rPr>
        <w:t>and</w:t>
      </w:r>
      <w:r w:rsidRPr="006F5A86">
        <w:rPr>
          <w:b/>
          <w:color w:val="808080" w:themeColor="background1" w:themeShade="80"/>
        </w:rPr>
        <w:t xml:space="preserve"> Western Approaches  </w:t>
      </w:r>
    </w:p>
    <w:p w:rsidR="00DA4BDC" w:rsidRPr="005511EC" w:rsidRDefault="005011DC" w:rsidP="002C39A6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5511EC">
        <w:rPr>
          <w:color w:val="808080" w:themeColor="background1" w:themeShade="80"/>
        </w:rPr>
        <w:t xml:space="preserve">[WG 1] </w:t>
      </w:r>
    </w:p>
    <w:p w:rsidR="006E1EA0" w:rsidRPr="005511EC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5511EC">
        <w:rPr>
          <w:b/>
          <w:color w:val="808080" w:themeColor="background1" w:themeShade="80"/>
        </w:rPr>
        <w:t xml:space="preserve">West of Ireland and Celtic Sea; ICES area VII (except VIIa, VIId and VIIe)    </w:t>
      </w:r>
    </w:p>
    <w:p w:rsidR="006E1EA0" w:rsidRPr="005511EC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5511EC">
        <w:rPr>
          <w:color w:val="808080" w:themeColor="background1" w:themeShade="80"/>
        </w:rPr>
        <w:t xml:space="preserve">[WG 2] </w:t>
      </w:r>
    </w:p>
    <w:p w:rsidR="006E1EA0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</w:rPr>
      </w:pPr>
      <w:r w:rsidRPr="005011DC">
        <w:rPr>
          <w:b/>
        </w:rPr>
        <w:t>English Channel</w:t>
      </w:r>
      <w:r>
        <w:rPr>
          <w:b/>
        </w:rPr>
        <w:t>;</w:t>
      </w:r>
      <w:r w:rsidRPr="005011DC">
        <w:rPr>
          <w:b/>
        </w:rPr>
        <w:t xml:space="preserve"> ICES areas VIId </w:t>
      </w:r>
      <w:r>
        <w:rPr>
          <w:b/>
        </w:rPr>
        <w:t>and</w:t>
      </w:r>
      <w:r w:rsidRPr="005011DC">
        <w:rPr>
          <w:b/>
        </w:rPr>
        <w:t xml:space="preserve"> </w:t>
      </w:r>
      <w:r>
        <w:rPr>
          <w:b/>
        </w:rPr>
        <w:t>VII</w:t>
      </w:r>
      <w:r w:rsidRPr="005011DC">
        <w:rPr>
          <w:b/>
        </w:rPr>
        <w:t xml:space="preserve">e    </w:t>
      </w:r>
    </w:p>
    <w:p w:rsidR="006E1EA0" w:rsidRDefault="006E1EA0" w:rsidP="006E1EA0">
      <w:pPr>
        <w:pStyle w:val="ListParagraph"/>
        <w:spacing w:before="100" w:beforeAutospacing="1" w:line="276" w:lineRule="auto"/>
        <w:ind w:left="360"/>
        <w:jc w:val="both"/>
      </w:pPr>
      <w:r w:rsidRPr="00CA3DAA">
        <w:t xml:space="preserve">[WG 3] </w:t>
      </w:r>
    </w:p>
    <w:p w:rsidR="006E1EA0" w:rsidRDefault="006E1EA0" w:rsidP="006E1EA0">
      <w:pPr>
        <w:spacing w:line="276" w:lineRule="auto"/>
        <w:jc w:val="both"/>
        <w:rPr>
          <w:u w:val="single"/>
        </w:rPr>
      </w:pPr>
    </w:p>
    <w:p w:rsidR="006E1EA0" w:rsidRPr="006E1EA0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</w:t>
      </w:r>
      <w:r w:rsidRPr="006E1EA0">
        <w:rPr>
          <w:u w:val="single"/>
        </w:rPr>
        <w:t>ment of the State of Stocks</w:t>
      </w:r>
    </w:p>
    <w:p w:rsidR="006E1EA0" w:rsidRPr="006E1EA0" w:rsidRDefault="006E1EA0" w:rsidP="006E1EA0">
      <w:pPr>
        <w:spacing w:line="276" w:lineRule="auto"/>
        <w:jc w:val="both"/>
      </w:pPr>
      <w:r w:rsidRPr="006E1EA0">
        <w:t>Channel</w:t>
      </w:r>
    </w:p>
    <w:p w:rsidR="006E1EA0" w:rsidRDefault="006E1EA0" w:rsidP="006E1EA0">
      <w:pPr>
        <w:spacing w:line="276" w:lineRule="auto"/>
        <w:jc w:val="both"/>
      </w:pPr>
      <w:r w:rsidRPr="006E1EA0">
        <w:t>Deep-sea species</w:t>
      </w:r>
    </w:p>
    <w:p w:rsidR="006E1EA0" w:rsidRDefault="006E1EA0" w:rsidP="006E1EA0">
      <w:pPr>
        <w:spacing w:line="276" w:lineRule="auto"/>
        <w:jc w:val="both"/>
        <w:rPr>
          <w:u w:val="single"/>
        </w:rPr>
      </w:pP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6E1EA0" w:rsidRPr="00F41A1E" w:rsidRDefault="006E1EA0" w:rsidP="006E1EA0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 relevant to the WG sub-region</w:t>
      </w: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6E1EA0" w:rsidRPr="008716A4" w:rsidRDefault="006E1EA0" w:rsidP="006E1EA0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Provide </w:t>
      </w:r>
      <w:r w:rsidRPr="008716A4">
        <w:rPr>
          <w:i/>
          <w:color w:val="808080" w:themeColor="background1" w:themeShade="80"/>
        </w:rPr>
        <w:t xml:space="preserve">Information on </w:t>
      </w:r>
      <w:r>
        <w:rPr>
          <w:i/>
          <w:color w:val="808080" w:themeColor="background1" w:themeShade="80"/>
        </w:rPr>
        <w:t xml:space="preserve">specific </w:t>
      </w:r>
      <w:r w:rsidRPr="008716A4">
        <w:rPr>
          <w:i/>
          <w:color w:val="808080" w:themeColor="background1" w:themeShade="80"/>
        </w:rPr>
        <w:t xml:space="preserve">changes </w:t>
      </w:r>
      <w:r>
        <w:rPr>
          <w:i/>
          <w:color w:val="808080" w:themeColor="background1" w:themeShade="80"/>
        </w:rPr>
        <w:t xml:space="preserve">in fisheries </w:t>
      </w:r>
      <w:r w:rsidRPr="008716A4">
        <w:rPr>
          <w:i/>
          <w:color w:val="808080" w:themeColor="background1" w:themeShade="80"/>
        </w:rPr>
        <w:t xml:space="preserve">practices </w:t>
      </w:r>
      <w:r>
        <w:rPr>
          <w:i/>
          <w:color w:val="808080" w:themeColor="background1" w:themeShade="80"/>
        </w:rPr>
        <w:t>relevant to the setting of TACs.</w:t>
      </w:r>
    </w:p>
    <w:p w:rsidR="006E1EA0" w:rsidRPr="00BE61FF" w:rsidRDefault="006E1EA0" w:rsidP="006E1EA0">
      <w:pPr>
        <w:spacing w:before="100" w:beforeAutospacing="1" w:after="100" w:afterAutospacing="1" w:line="276" w:lineRule="auto"/>
        <w:jc w:val="both"/>
        <w:rPr>
          <w:i/>
          <w:color w:val="FF0000"/>
        </w:rPr>
      </w:pPr>
      <w:r w:rsidRPr="00BE61FF">
        <w:rPr>
          <w:i/>
          <w:color w:val="FF0000"/>
        </w:rPr>
        <w:t>NB: Please restrict comments to specific</w:t>
      </w:r>
      <w:r>
        <w:rPr>
          <w:i/>
          <w:color w:val="FF0000"/>
        </w:rPr>
        <w:t>,</w:t>
      </w:r>
      <w:r w:rsidRPr="00BE61FF">
        <w:rPr>
          <w:i/>
          <w:color w:val="FF0000"/>
        </w:rPr>
        <w:t xml:space="preserve"> </w:t>
      </w:r>
      <w:r>
        <w:rPr>
          <w:i/>
          <w:color w:val="FF0000"/>
        </w:rPr>
        <w:t>s</w:t>
      </w:r>
      <w:r w:rsidRPr="00BE61FF">
        <w:rPr>
          <w:i/>
          <w:color w:val="FF0000"/>
        </w:rPr>
        <w:t xml:space="preserve">ub-regional issues </w:t>
      </w:r>
    </w:p>
    <w:p w:rsidR="006E1EA0" w:rsidRDefault="006E1EA0" w:rsidP="006E1EA0">
      <w:pPr>
        <w:spacing w:before="100" w:beforeAutospacing="1" w:line="276" w:lineRule="auto"/>
        <w:jc w:val="both"/>
      </w:pPr>
    </w:p>
    <w:p w:rsidR="005511EC" w:rsidRDefault="005511EC">
      <w:pPr>
        <w:spacing w:after="200" w:line="276" w:lineRule="auto"/>
      </w:pPr>
      <w:r>
        <w:br w:type="page"/>
      </w:r>
    </w:p>
    <w:p w:rsidR="006E1EA0" w:rsidRPr="00CA3DAA" w:rsidRDefault="006E1EA0" w:rsidP="006E1EA0">
      <w:pPr>
        <w:spacing w:before="100" w:beforeAutospacing="1" w:line="276" w:lineRule="auto"/>
        <w:jc w:val="both"/>
      </w:pPr>
      <w:r>
        <w:lastRenderedPageBreak/>
        <w:t>TACs in VIId and VIIe: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Areas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Specific comments?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  <w:t xml:space="preserve">and XIV 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Anglerfish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Black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scabbardfish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Blue 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Deep-sea sharks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VIII and IX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Greater forkbeard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Greater silver smelt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Haddock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VIIb-k, VIII, IX and 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Hake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and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VI, VII, VIII, IX, X,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Megrims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Nephrops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Orange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</w:t>
            </w:r>
            <w:proofErr w:type="spellEnd"/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Pollack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Red seabream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VI, VII and VIII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Roundnose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and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roughhead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grenadier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Saithe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VII, VIII, IX and 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Skates and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VIIa-c and e-k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Skates and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VIIe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Spurdog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I, V, VI, VII, VIII,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Tusk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137F57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137F57" w:rsidRPr="004245EC" w:rsidRDefault="00137F57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Whiting</w:t>
            </w:r>
          </w:p>
        </w:tc>
        <w:tc>
          <w:tcPr>
            <w:tcW w:w="2976" w:type="dxa"/>
            <w:shd w:val="clear" w:color="auto" w:fill="auto"/>
            <w:noWrap/>
          </w:tcPr>
          <w:p w:rsidR="00137F57" w:rsidRPr="00137F57" w:rsidRDefault="00137F57" w:rsidP="002D7A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VIIb-k </w:t>
            </w:r>
          </w:p>
        </w:tc>
        <w:tc>
          <w:tcPr>
            <w:tcW w:w="4111" w:type="dxa"/>
          </w:tcPr>
          <w:p w:rsidR="00137F57" w:rsidRPr="004245EC" w:rsidRDefault="00137F57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6E1EA0" w:rsidRDefault="006E1EA0" w:rsidP="006E1EA0">
      <w:pPr>
        <w:spacing w:after="200" w:line="276" w:lineRule="auto"/>
        <w:rPr>
          <w:b/>
        </w:rPr>
      </w:pPr>
    </w:p>
    <w:p w:rsidR="006E1EA0" w:rsidRDefault="006E1EA0" w:rsidP="006E1E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1EA0" w:rsidRPr="005511EC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5511EC">
        <w:rPr>
          <w:b/>
          <w:color w:val="808080" w:themeColor="background1" w:themeShade="80"/>
        </w:rPr>
        <w:lastRenderedPageBreak/>
        <w:t xml:space="preserve">Irish Sea; ICES area VIIa    </w:t>
      </w:r>
    </w:p>
    <w:p w:rsidR="006E1EA0" w:rsidRPr="005511EC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5511EC">
        <w:rPr>
          <w:color w:val="808080" w:themeColor="background1" w:themeShade="80"/>
        </w:rPr>
        <w:t>[WG 4]</w:t>
      </w:r>
    </w:p>
    <w:p w:rsidR="00CA3DAA" w:rsidRPr="005511EC" w:rsidRDefault="00CA3DAA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5511EC">
        <w:rPr>
          <w:b/>
          <w:color w:val="808080" w:themeColor="background1" w:themeShade="80"/>
        </w:rPr>
        <w:t xml:space="preserve">Stocks </w:t>
      </w:r>
      <w:r w:rsidR="002E0D16" w:rsidRPr="005511EC">
        <w:rPr>
          <w:b/>
          <w:color w:val="808080" w:themeColor="background1" w:themeShade="80"/>
        </w:rPr>
        <w:t xml:space="preserve">where </w:t>
      </w:r>
      <w:r w:rsidRPr="005511EC">
        <w:rPr>
          <w:b/>
          <w:color w:val="808080" w:themeColor="background1" w:themeShade="80"/>
        </w:rPr>
        <w:t xml:space="preserve">scientific advice </w:t>
      </w:r>
      <w:r w:rsidR="002E0D16" w:rsidRPr="005511EC">
        <w:rPr>
          <w:b/>
          <w:color w:val="808080" w:themeColor="background1" w:themeShade="80"/>
        </w:rPr>
        <w:t xml:space="preserve">is provided </w:t>
      </w:r>
      <w:r w:rsidRPr="005511EC">
        <w:rPr>
          <w:b/>
          <w:color w:val="808080" w:themeColor="background1" w:themeShade="80"/>
        </w:rPr>
        <w:t xml:space="preserve">in </w:t>
      </w:r>
      <w:r w:rsidR="00F461E9" w:rsidRPr="005511EC">
        <w:rPr>
          <w:b/>
          <w:color w:val="808080" w:themeColor="background1" w:themeShade="80"/>
        </w:rPr>
        <w:t>Autumn</w:t>
      </w:r>
    </w:p>
    <w:p w:rsidR="00AE51B7" w:rsidRDefault="00AE51B7" w:rsidP="00AE51B7">
      <w:pPr>
        <w:spacing w:before="100" w:beforeAutospacing="1" w:after="100" w:afterAutospacing="1" w:line="276" w:lineRule="auto"/>
        <w:jc w:val="both"/>
      </w:pPr>
      <w:r w:rsidRPr="005011DC">
        <w:t xml:space="preserve">The NWWAC will, if necessary, </w:t>
      </w:r>
      <w:r w:rsidR="002E0D16">
        <w:t xml:space="preserve">provide </w:t>
      </w:r>
      <w:r w:rsidRPr="005011DC">
        <w:t>further comment on stocks</w:t>
      </w:r>
      <w:r w:rsidR="002E0D16">
        <w:t>,</w:t>
      </w:r>
      <w:r w:rsidRPr="005011DC">
        <w:t xml:space="preserve"> for which </w:t>
      </w:r>
      <w:r>
        <w:t xml:space="preserve">the </w:t>
      </w:r>
      <w:r w:rsidRPr="005011DC">
        <w:t xml:space="preserve">advice </w:t>
      </w:r>
      <w:r>
        <w:t xml:space="preserve">release date from ICES </w:t>
      </w:r>
      <w:r w:rsidRPr="005011DC">
        <w:t xml:space="preserve">is </w:t>
      </w:r>
      <w:r>
        <w:t>sc</w:t>
      </w:r>
      <w:r w:rsidR="00BE61FF">
        <w:t xml:space="preserve">heduled after </w:t>
      </w:r>
      <w:r w:rsidR="00393F20">
        <w:t xml:space="preserve">at the end of October </w:t>
      </w:r>
      <w:r w:rsidR="00BE61FF">
        <w:t>2016:</w:t>
      </w:r>
      <w:r>
        <w:t xml:space="preserve"> 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122"/>
        <w:gridCol w:w="8081"/>
      </w:tblGrid>
      <w:tr w:rsidR="006E1EA0" w:rsidRPr="00D360A8" w:rsidTr="006E1EA0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Had-346a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ang-ivvi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meg-rock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nep-14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nep-15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nep-16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nep-oth-6a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6E1EA0" w:rsidRPr="005011DC" w:rsidRDefault="006E1EA0" w:rsidP="00AE51B7">
      <w:pPr>
        <w:spacing w:before="100" w:beforeAutospacing="1" w:after="100" w:afterAutospacing="1" w:line="276" w:lineRule="auto"/>
        <w:jc w:val="both"/>
      </w:pPr>
    </w:p>
    <w:p w:rsidR="00F461E9" w:rsidRPr="005511EC" w:rsidRDefault="00F461E9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5511EC">
        <w:rPr>
          <w:b/>
          <w:color w:val="808080" w:themeColor="background1" w:themeShade="80"/>
        </w:rPr>
        <w:t>Skates and Rays</w:t>
      </w:r>
    </w:p>
    <w:p w:rsidR="00F461E9" w:rsidRPr="005511EC" w:rsidRDefault="00F461E9" w:rsidP="00F461E9">
      <w:pPr>
        <w:pStyle w:val="ListParagraph"/>
        <w:spacing w:before="100" w:beforeAutospacing="1" w:line="276" w:lineRule="auto"/>
        <w:ind w:left="0"/>
        <w:jc w:val="both"/>
        <w:rPr>
          <w:color w:val="808080" w:themeColor="background1" w:themeShade="80"/>
        </w:rPr>
      </w:pPr>
      <w:r w:rsidRPr="005511EC">
        <w:rPr>
          <w:color w:val="808080" w:themeColor="background1" w:themeShade="80"/>
        </w:rPr>
        <w:t>F</w:t>
      </w:r>
      <w:r w:rsidR="00C12837" w:rsidRPr="005511EC">
        <w:rPr>
          <w:color w:val="808080" w:themeColor="background1" w:themeShade="80"/>
        </w:rPr>
        <w:t xml:space="preserve">ocus </w:t>
      </w:r>
      <w:r w:rsidRPr="005511EC">
        <w:rPr>
          <w:color w:val="808080" w:themeColor="background1" w:themeShade="80"/>
        </w:rPr>
        <w:t>G</w:t>
      </w:r>
      <w:r w:rsidR="00C12837" w:rsidRPr="005511EC">
        <w:rPr>
          <w:color w:val="808080" w:themeColor="background1" w:themeShade="80"/>
        </w:rPr>
        <w:t xml:space="preserve">roup on </w:t>
      </w:r>
      <w:r w:rsidRPr="005511EC">
        <w:rPr>
          <w:color w:val="808080" w:themeColor="background1" w:themeShade="80"/>
        </w:rPr>
        <w:t>Rays</w:t>
      </w:r>
      <w:bookmarkStart w:id="0" w:name="_GoBack"/>
      <w:bookmarkEnd w:id="0"/>
    </w:p>
    <w:sectPr w:rsidR="00F461E9" w:rsidRPr="005511EC" w:rsidSect="003D068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9D" w:rsidRDefault="002D7A9D" w:rsidP="001C1D46">
      <w:r>
        <w:separator/>
      </w:r>
    </w:p>
  </w:endnote>
  <w:endnote w:type="continuationSeparator" w:id="0">
    <w:p w:rsidR="002D7A9D" w:rsidRDefault="002D7A9D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9D" w:rsidRPr="00202D1B" w:rsidRDefault="002D7A9D" w:rsidP="00202D1B">
    <w:pPr>
      <w:pStyle w:val="Footer"/>
      <w:jc w:val="center"/>
      <w:rPr>
        <w:sz w:val="16"/>
        <w:szCs w:val="12"/>
        <w:lang w:val="en-IE"/>
      </w:rPr>
    </w:pPr>
    <w:r w:rsidRPr="00202D1B">
      <w:rPr>
        <w:sz w:val="16"/>
        <w:szCs w:val="12"/>
        <w:lang w:val="en-IE"/>
      </w:rPr>
      <w:t xml:space="preserve">NWWAC </w:t>
    </w:r>
    <w:r>
      <w:rPr>
        <w:sz w:val="16"/>
        <w:szCs w:val="12"/>
        <w:lang w:val="en-IE"/>
      </w:rPr>
      <w:t xml:space="preserve">Draft input for </w:t>
    </w:r>
    <w:r w:rsidRPr="00202D1B">
      <w:rPr>
        <w:sz w:val="16"/>
        <w:szCs w:val="12"/>
        <w:lang w:val="en-IE"/>
      </w:rPr>
      <w:t xml:space="preserve">Response to </w:t>
    </w:r>
    <w:r>
      <w:rPr>
        <w:sz w:val="16"/>
        <w:szCs w:val="12"/>
        <w:lang w:val="en-IE"/>
      </w:rPr>
      <w:t xml:space="preserve">the EC Communication </w:t>
    </w:r>
    <w:r w:rsidRPr="00202D1B">
      <w:rPr>
        <w:sz w:val="16"/>
        <w:szCs w:val="12"/>
        <w:lang w:val="en-IE"/>
      </w:rPr>
      <w:t>o</w:t>
    </w:r>
    <w:r>
      <w:rPr>
        <w:sz w:val="16"/>
        <w:szCs w:val="12"/>
        <w:lang w:val="en-IE"/>
      </w:rPr>
      <w:t>n Fishing Opportunities for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9D" w:rsidRDefault="002D7A9D" w:rsidP="001C1D46">
      <w:r>
        <w:separator/>
      </w:r>
    </w:p>
  </w:footnote>
  <w:footnote w:type="continuationSeparator" w:id="0">
    <w:p w:rsidR="002D7A9D" w:rsidRDefault="002D7A9D" w:rsidP="001C1D46">
      <w:r>
        <w:continuationSeparator/>
      </w:r>
    </w:p>
  </w:footnote>
  <w:footnote w:id="1">
    <w:p w:rsidR="002D7A9D" w:rsidRPr="00EF7ABF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And the accompanying </w:t>
      </w:r>
      <w:hyperlink r:id="rId1" w:history="1">
        <w:r w:rsidRPr="00D9435D">
          <w:rPr>
            <w:rStyle w:val="Hyperlink"/>
          </w:rPr>
          <w:t>Commission Staff working document</w:t>
        </w:r>
      </w:hyperlink>
      <w:r>
        <w:t xml:space="preserve"> (available in English only)</w:t>
      </w:r>
    </w:p>
  </w:footnote>
  <w:footnote w:id="2">
    <w:p w:rsidR="002D7A9D" w:rsidRPr="002E6A93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val="en-IE"/>
        </w:rPr>
        <w:t xml:space="preserve">For example in 2015 – </w:t>
      </w:r>
      <w:hyperlink r:id="rId2" w:history="1">
        <w:r w:rsidRPr="002E6A93">
          <w:rPr>
            <w:rStyle w:val="Hyperlink"/>
            <w:lang w:val="en-IE"/>
          </w:rPr>
          <w:t>Opinion on the EC communication, 30 September 2015</w:t>
        </w:r>
      </w:hyperlink>
      <w:r>
        <w:rPr>
          <w:lang w:val="en-IE"/>
        </w:rPr>
        <w:t xml:space="preserve">, </w:t>
      </w:r>
      <w:r>
        <w:rPr>
          <w:lang w:val="en-IE"/>
        </w:rPr>
        <w:br/>
        <w:t xml:space="preserve">   – and </w:t>
      </w:r>
      <w:hyperlink r:id="rId3" w:history="1">
        <w:r>
          <w:rPr>
            <w:rStyle w:val="Hyperlink"/>
            <w:lang w:val="en-IE"/>
          </w:rPr>
          <w:t>A</w:t>
        </w:r>
        <w:r w:rsidRPr="002E6A93">
          <w:rPr>
            <w:rStyle w:val="Hyperlink"/>
            <w:lang w:val="en-IE"/>
          </w:rPr>
          <w:t>dvice on the TAC proposal, 8 December 2015</w:t>
        </w:r>
      </w:hyperlink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55D3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37F57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8393F"/>
    <w:rsid w:val="00284650"/>
    <w:rsid w:val="002A5F1A"/>
    <w:rsid w:val="002C39A6"/>
    <w:rsid w:val="002C60E0"/>
    <w:rsid w:val="002D7A9D"/>
    <w:rsid w:val="002E0B85"/>
    <w:rsid w:val="002E0D16"/>
    <w:rsid w:val="002E638E"/>
    <w:rsid w:val="002E67A8"/>
    <w:rsid w:val="002E6A93"/>
    <w:rsid w:val="00324F96"/>
    <w:rsid w:val="0035246E"/>
    <w:rsid w:val="00354507"/>
    <w:rsid w:val="00360A4F"/>
    <w:rsid w:val="003627D2"/>
    <w:rsid w:val="003646C4"/>
    <w:rsid w:val="00370DE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44211"/>
    <w:rsid w:val="00451CAB"/>
    <w:rsid w:val="004714C3"/>
    <w:rsid w:val="004931A3"/>
    <w:rsid w:val="004A647B"/>
    <w:rsid w:val="004B3F6B"/>
    <w:rsid w:val="004B6FAC"/>
    <w:rsid w:val="004C5452"/>
    <w:rsid w:val="004D626C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11EC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1EA0"/>
    <w:rsid w:val="006E4500"/>
    <w:rsid w:val="006E511A"/>
    <w:rsid w:val="006F53C3"/>
    <w:rsid w:val="006F5449"/>
    <w:rsid w:val="006F5A86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B48D4"/>
    <w:rsid w:val="00AB6487"/>
    <w:rsid w:val="00AD622C"/>
    <w:rsid w:val="00AE51B7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12837"/>
    <w:rsid w:val="00C22061"/>
    <w:rsid w:val="00C248A3"/>
    <w:rsid w:val="00C25B96"/>
    <w:rsid w:val="00C26AEB"/>
    <w:rsid w:val="00C45326"/>
    <w:rsid w:val="00C46DC7"/>
    <w:rsid w:val="00C56D79"/>
    <w:rsid w:val="00C95195"/>
    <w:rsid w:val="00C97F87"/>
    <w:rsid w:val="00CA32AE"/>
    <w:rsid w:val="00CA3DAA"/>
    <w:rsid w:val="00CA57D7"/>
    <w:rsid w:val="00CB2C22"/>
    <w:rsid w:val="00CC0551"/>
    <w:rsid w:val="00CC3C83"/>
    <w:rsid w:val="00CD2C8C"/>
    <w:rsid w:val="00CD6675"/>
    <w:rsid w:val="00CE30C8"/>
    <w:rsid w:val="00CE7EA6"/>
    <w:rsid w:val="00D124F1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37B9"/>
    <w:rsid w:val="00E618EE"/>
    <w:rsid w:val="00E720FE"/>
    <w:rsid w:val="00E7367D"/>
    <w:rsid w:val="00E87E94"/>
    <w:rsid w:val="00EB7978"/>
    <w:rsid w:val="00EE4AFA"/>
    <w:rsid w:val="00EF38E7"/>
    <w:rsid w:val="00EF649E"/>
    <w:rsid w:val="00EF7ABF"/>
    <w:rsid w:val="00F00089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tions/nwwac-response-to-the-ec-proposal-on-fishing-opportunities-for-2016.2023.html" TargetMode="External"/><Relationship Id="rId2" Type="http://schemas.openxmlformats.org/officeDocument/2006/relationships/hyperlink" Target="http://www.nwwac.org/_fileupload/Opinions%20and%20Advice/Year%2010/NWWAC_Consultation_Fishing_opportunities_2016_EN.pdf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1BE4-413F-4397-AB68-FF1E8165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2016-06-22T15:38:00Z</dcterms:created>
  <dcterms:modified xsi:type="dcterms:W3CDTF">2016-06-22T15:39:00Z</dcterms:modified>
</cp:coreProperties>
</file>